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A1475C">
        <w:rPr>
          <w:rFonts w:ascii="Times New Roman" w:hAnsi="Times New Roman" w:cs="Times New Roman"/>
          <w:sz w:val="24"/>
          <w:szCs w:val="24"/>
        </w:rPr>
        <w:t xml:space="preserve">        </w:t>
      </w:r>
      <w:r w:rsidR="005F530E">
        <w:rPr>
          <w:rFonts w:ascii="Times New Roman" w:hAnsi="Times New Roman" w:cs="Times New Roman"/>
          <w:sz w:val="24"/>
          <w:szCs w:val="24"/>
        </w:rPr>
        <w:t xml:space="preserve">  </w:t>
      </w:r>
      <w:r w:rsidR="00A1475C">
        <w:rPr>
          <w:rFonts w:ascii="Times New Roman" w:hAnsi="Times New Roman" w:cs="Times New Roman"/>
          <w:b/>
          <w:sz w:val="24"/>
          <w:szCs w:val="24"/>
        </w:rPr>
        <w:t>June 10</w:t>
      </w:r>
      <w:r w:rsidRPr="0011124F">
        <w:rPr>
          <w:rFonts w:ascii="Times New Roman" w:hAnsi="Times New Roman" w:cs="Times New Roman"/>
          <w:b/>
          <w:sz w:val="24"/>
          <w:szCs w:val="24"/>
          <w:vertAlign w:val="superscript"/>
        </w:rPr>
        <w:t>th</w:t>
      </w:r>
      <w:r w:rsidR="003C37A8">
        <w:rPr>
          <w:rFonts w:ascii="Times New Roman" w:hAnsi="Times New Roman" w:cs="Times New Roman"/>
          <w:b/>
          <w:sz w:val="24"/>
          <w:szCs w:val="24"/>
        </w:rPr>
        <w:t>, 2019</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034C0F">
        <w:rPr>
          <w:rFonts w:ascii="Times New Roman" w:hAnsi="Times New Roman" w:cs="Times New Roman"/>
          <w:sz w:val="24"/>
          <w:szCs w:val="24"/>
        </w:rPr>
        <w:t>June 10</w:t>
      </w:r>
      <w:r w:rsidR="00034C0F" w:rsidRPr="00034C0F">
        <w:rPr>
          <w:rFonts w:ascii="Times New Roman" w:hAnsi="Times New Roman" w:cs="Times New Roman"/>
          <w:sz w:val="24"/>
          <w:szCs w:val="24"/>
          <w:vertAlign w:val="superscript"/>
        </w:rPr>
        <w:t>th</w:t>
      </w:r>
      <w:r w:rsidR="00350D3A">
        <w:rPr>
          <w:rFonts w:ascii="Times New Roman" w:hAnsi="Times New Roman" w:cs="Times New Roman"/>
          <w:sz w:val="24"/>
          <w:szCs w:val="24"/>
        </w:rPr>
        <w:t>, 2019</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 xml:space="preserve">,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Kay McCathen,</w:t>
      </w:r>
      <w:r w:rsidR="008E6CC7">
        <w:rPr>
          <w:rFonts w:ascii="Times New Roman" w:hAnsi="Times New Roman" w:cs="Times New Roman"/>
          <w:sz w:val="24"/>
          <w:szCs w:val="24"/>
        </w:rPr>
        <w:t xml:space="preserve"> Joe Will,</w:t>
      </w:r>
      <w:r w:rsidR="00080E0B">
        <w:rPr>
          <w:rFonts w:ascii="Times New Roman" w:hAnsi="Times New Roman" w:cs="Times New Roman"/>
          <w:sz w:val="24"/>
          <w:szCs w:val="24"/>
        </w:rPr>
        <w:t xml:space="preserve"> </w:t>
      </w:r>
      <w:r w:rsidR="00350D3A">
        <w:rPr>
          <w:rFonts w:ascii="Times New Roman" w:hAnsi="Times New Roman" w:cs="Times New Roman"/>
          <w:sz w:val="24"/>
          <w:szCs w:val="24"/>
        </w:rPr>
        <w:t xml:space="preserve">Dan Boling, 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971EF2">
        <w:rPr>
          <w:rFonts w:ascii="Times New Roman" w:hAnsi="Times New Roman" w:cs="Times New Roman"/>
          <w:sz w:val="24"/>
          <w:szCs w:val="24"/>
        </w:rPr>
        <w:t xml:space="preserve"> and City Attorney, David Smith were</w:t>
      </w:r>
      <w:r w:rsidR="004008AE">
        <w:rPr>
          <w:rFonts w:ascii="Times New Roman" w:hAnsi="Times New Roman" w:cs="Times New Roman"/>
          <w:sz w:val="24"/>
          <w:szCs w:val="24"/>
        </w:rPr>
        <w:t xml:space="preserve"> present.</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034C0F">
        <w:rPr>
          <w:rFonts w:ascii="Times New Roman" w:hAnsi="Times New Roman" w:cs="Times New Roman"/>
          <w:sz w:val="24"/>
          <w:szCs w:val="24"/>
        </w:rPr>
        <w:t>Bethlehem Church,</w:t>
      </w:r>
      <w:r w:rsidR="00971EF2">
        <w:rPr>
          <w:rFonts w:ascii="Times New Roman" w:hAnsi="Times New Roman" w:cs="Times New Roman"/>
          <w:sz w:val="24"/>
          <w:szCs w:val="24"/>
        </w:rPr>
        <w:t xml:space="preserve"> </w:t>
      </w:r>
      <w:r w:rsidR="001764C3">
        <w:rPr>
          <w:rFonts w:ascii="Times New Roman" w:hAnsi="Times New Roman" w:cs="Times New Roman"/>
          <w:sz w:val="24"/>
          <w:szCs w:val="24"/>
        </w:rPr>
        <w:t xml:space="preserve">West Campus </w:t>
      </w:r>
      <w:r w:rsidR="00971EF2">
        <w:rPr>
          <w:rFonts w:ascii="Times New Roman" w:hAnsi="Times New Roman" w:cs="Times New Roman"/>
          <w:sz w:val="24"/>
          <w:szCs w:val="24"/>
        </w:rPr>
        <w:t>Pastor</w:t>
      </w:r>
      <w:r w:rsidR="001671C1">
        <w:rPr>
          <w:rFonts w:ascii="Times New Roman" w:hAnsi="Times New Roman" w:cs="Times New Roman"/>
          <w:sz w:val="24"/>
          <w:szCs w:val="24"/>
        </w:rPr>
        <w:t xml:space="preserve"> </w:t>
      </w:r>
      <w:r w:rsidR="001764C3">
        <w:rPr>
          <w:rFonts w:ascii="Times New Roman" w:hAnsi="Times New Roman" w:cs="Times New Roman"/>
          <w:sz w:val="24"/>
          <w:szCs w:val="24"/>
        </w:rPr>
        <w:t>Ricky Collins</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CA3B7D">
        <w:rPr>
          <w:rFonts w:ascii="Times New Roman" w:hAnsi="Times New Roman" w:cs="Times New Roman"/>
          <w:sz w:val="24"/>
          <w:szCs w:val="24"/>
        </w:rPr>
        <w:t xml:space="preserve">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1764C3">
        <w:rPr>
          <w:rFonts w:ascii="Times New Roman" w:hAnsi="Times New Roman" w:cs="Times New Roman"/>
          <w:b/>
          <w:sz w:val="24"/>
          <w:szCs w:val="24"/>
          <w:u w:val="single"/>
        </w:rPr>
        <w:t>June</w:t>
      </w:r>
      <w:r w:rsidRPr="0011124F">
        <w:rPr>
          <w:rFonts w:ascii="Times New Roman" w:hAnsi="Times New Roman" w:cs="Times New Roman"/>
          <w:b/>
          <w:sz w:val="24"/>
          <w:szCs w:val="24"/>
          <w:u w:val="single"/>
        </w:rPr>
        <w:t xml:space="preserve"> Agenda</w:t>
      </w:r>
    </w:p>
    <w:p w:rsidR="0011124F" w:rsidRPr="00475A0D" w:rsidRDefault="00901AE8" w:rsidP="00FF7EB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Kay McCathen </w:t>
      </w:r>
      <w:r w:rsidR="00AB4EE1">
        <w:rPr>
          <w:rFonts w:ascii="Times New Roman" w:hAnsi="Times New Roman" w:cs="Times New Roman"/>
          <w:sz w:val="24"/>
          <w:szCs w:val="24"/>
        </w:rPr>
        <w:t xml:space="preserve">and unanimous vote, the </w:t>
      </w:r>
      <w:r>
        <w:rPr>
          <w:rFonts w:ascii="Times New Roman" w:hAnsi="Times New Roman" w:cs="Times New Roman"/>
          <w:sz w:val="24"/>
          <w:szCs w:val="24"/>
        </w:rPr>
        <w:t>June</w:t>
      </w:r>
      <w:r w:rsidR="00AB4EE1">
        <w:rPr>
          <w:rFonts w:ascii="Times New Roman" w:hAnsi="Times New Roman" w:cs="Times New Roman"/>
          <w:sz w:val="24"/>
          <w:szCs w:val="24"/>
        </w:rPr>
        <w:t xml:space="preserve"> </w:t>
      </w:r>
      <w:r w:rsidR="0011124F" w:rsidRPr="0011124F">
        <w:rPr>
          <w:rFonts w:ascii="Times New Roman" w:hAnsi="Times New Roman" w:cs="Times New Roman"/>
          <w:sz w:val="24"/>
          <w:szCs w:val="24"/>
        </w:rPr>
        <w:t>agenda was approved</w:t>
      </w:r>
      <w:r w:rsidR="004A6B35">
        <w:rPr>
          <w:rFonts w:ascii="Times New Roman" w:hAnsi="Times New Roman" w:cs="Times New Roman"/>
          <w:sz w:val="24"/>
          <w:szCs w:val="24"/>
        </w:rPr>
        <w:t xml:space="preserve"> with</w:t>
      </w:r>
      <w:r w:rsidR="0011124F"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C73EFA" w:rsidRDefault="00901AE8" w:rsidP="001E6FEF">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Bessemer City Police Department</w:t>
      </w:r>
      <w:r w:rsidR="00080E0B" w:rsidRPr="00D33792">
        <w:rPr>
          <w:rFonts w:ascii="Times New Roman" w:hAnsi="Times New Roman" w:cs="Times New Roman"/>
          <w:color w:val="000000"/>
          <w:sz w:val="24"/>
          <w:szCs w:val="24"/>
        </w:rPr>
        <w:t xml:space="preserve">- </w:t>
      </w:r>
      <w:r w:rsidR="001E6FEF">
        <w:rPr>
          <w:rFonts w:ascii="Times New Roman" w:hAnsi="Times New Roman" w:cs="Times New Roman"/>
          <w:color w:val="000000"/>
          <w:sz w:val="24"/>
          <w:szCs w:val="24"/>
        </w:rPr>
        <w:t>Mayor Smith recognized Captain</w:t>
      </w:r>
      <w:r w:rsidR="002D6BFA">
        <w:rPr>
          <w:rFonts w:ascii="Times New Roman" w:hAnsi="Times New Roman" w:cs="Times New Roman"/>
          <w:color w:val="000000"/>
          <w:sz w:val="24"/>
          <w:szCs w:val="24"/>
        </w:rPr>
        <w:t xml:space="preserve"> Brent</w:t>
      </w:r>
      <w:r w:rsidR="001E6FEF">
        <w:rPr>
          <w:rFonts w:ascii="Times New Roman" w:hAnsi="Times New Roman" w:cs="Times New Roman"/>
          <w:color w:val="000000"/>
          <w:sz w:val="24"/>
          <w:szCs w:val="24"/>
        </w:rPr>
        <w:t xml:space="preserve"> Harp of the Police Department for completing the “Road to Hope” tour. In five days Captain Harp rode over 500 miles </w:t>
      </w:r>
      <w:r w:rsidR="001E6424">
        <w:rPr>
          <w:rFonts w:ascii="Times New Roman" w:hAnsi="Times New Roman" w:cs="Times New Roman"/>
          <w:color w:val="000000"/>
          <w:sz w:val="24"/>
          <w:szCs w:val="24"/>
        </w:rPr>
        <w:t xml:space="preserve">from Shelby, NC to Washington, DC to support fallen officers and their families. Mayor Smith encouraged everyone present to commend Captain Harp. </w:t>
      </w:r>
    </w:p>
    <w:p w:rsidR="001E6424" w:rsidRDefault="001E6424" w:rsidP="001E6FEF">
      <w:pPr>
        <w:spacing w:after="0" w:line="240" w:lineRule="auto"/>
        <w:contextualSpacing/>
        <w:jc w:val="both"/>
        <w:rPr>
          <w:rFonts w:ascii="Times New Roman" w:hAnsi="Times New Roman" w:cs="Times New Roman"/>
          <w:color w:val="000000"/>
          <w:sz w:val="24"/>
          <w:szCs w:val="24"/>
        </w:rPr>
      </w:pPr>
    </w:p>
    <w:p w:rsidR="001E6424" w:rsidRPr="00E053EF" w:rsidRDefault="001E6424" w:rsidP="001E6FEF">
      <w:pPr>
        <w:spacing w:after="0" w:line="240" w:lineRule="auto"/>
        <w:contextualSpacing/>
        <w:jc w:val="both"/>
        <w:rPr>
          <w:rFonts w:ascii="Times New Roman" w:eastAsia="Times New Roman" w:hAnsi="Times New Roman" w:cs="Times New Roman"/>
          <w:color w:val="000000"/>
          <w:sz w:val="24"/>
          <w:szCs w:val="24"/>
        </w:rPr>
      </w:pPr>
      <w:r w:rsidRPr="00226F13">
        <w:rPr>
          <w:rFonts w:ascii="Times New Roman" w:hAnsi="Times New Roman" w:cs="Times New Roman"/>
          <w:color w:val="000000"/>
          <w:sz w:val="24"/>
          <w:szCs w:val="24"/>
          <w:u w:val="single"/>
        </w:rPr>
        <w:t>Bessemer City Area Principals</w:t>
      </w:r>
      <w:r>
        <w:rPr>
          <w:rFonts w:ascii="Times New Roman" w:hAnsi="Times New Roman" w:cs="Times New Roman"/>
          <w:color w:val="000000"/>
          <w:sz w:val="24"/>
          <w:szCs w:val="24"/>
        </w:rPr>
        <w:t>- Principals from Bessemer City Primary</w:t>
      </w:r>
      <w:r w:rsidR="002D6BFA">
        <w:rPr>
          <w:rFonts w:ascii="Times New Roman" w:hAnsi="Times New Roman" w:cs="Times New Roman"/>
          <w:color w:val="000000"/>
          <w:sz w:val="24"/>
          <w:szCs w:val="24"/>
        </w:rPr>
        <w:t>, Dr. April Conley</w:t>
      </w:r>
      <w:r>
        <w:rPr>
          <w:rFonts w:ascii="Times New Roman" w:hAnsi="Times New Roman" w:cs="Times New Roman"/>
          <w:color w:val="000000"/>
          <w:sz w:val="24"/>
          <w:szCs w:val="24"/>
        </w:rPr>
        <w:t>, Central,</w:t>
      </w:r>
      <w:r w:rsidR="002D6BFA">
        <w:rPr>
          <w:rFonts w:ascii="Times New Roman" w:hAnsi="Times New Roman" w:cs="Times New Roman"/>
          <w:color w:val="000000"/>
          <w:sz w:val="24"/>
          <w:szCs w:val="24"/>
        </w:rPr>
        <w:t xml:space="preserve"> Mrs. Caroline Black,</w:t>
      </w:r>
      <w:r>
        <w:rPr>
          <w:rFonts w:ascii="Times New Roman" w:hAnsi="Times New Roman" w:cs="Times New Roman"/>
          <w:color w:val="000000"/>
          <w:sz w:val="24"/>
          <w:szCs w:val="24"/>
        </w:rPr>
        <w:t xml:space="preserve"> Middle</w:t>
      </w:r>
      <w:r w:rsidR="002D6BFA">
        <w:rPr>
          <w:rFonts w:ascii="Times New Roman" w:hAnsi="Times New Roman" w:cs="Times New Roman"/>
          <w:color w:val="000000"/>
          <w:sz w:val="24"/>
          <w:szCs w:val="24"/>
        </w:rPr>
        <w:t>, Dr. Jessica Melon,</w:t>
      </w:r>
      <w:r>
        <w:rPr>
          <w:rFonts w:ascii="Times New Roman" w:hAnsi="Times New Roman" w:cs="Times New Roman"/>
          <w:color w:val="000000"/>
          <w:sz w:val="24"/>
          <w:szCs w:val="24"/>
        </w:rPr>
        <w:t xml:space="preserve"> and High School</w:t>
      </w:r>
      <w:r w:rsidR="002D6BFA">
        <w:rPr>
          <w:rFonts w:ascii="Times New Roman" w:hAnsi="Times New Roman" w:cs="Times New Roman"/>
          <w:color w:val="000000"/>
          <w:sz w:val="24"/>
          <w:szCs w:val="24"/>
        </w:rPr>
        <w:t>, Dr. Sheila Wyont</w:t>
      </w:r>
      <w:r>
        <w:rPr>
          <w:rFonts w:ascii="Times New Roman" w:hAnsi="Times New Roman" w:cs="Times New Roman"/>
          <w:color w:val="000000"/>
          <w:sz w:val="24"/>
          <w:szCs w:val="24"/>
        </w:rPr>
        <w:t xml:space="preserve"> addressed Council regarding the technology and industrial engineering academy. In an effort to better equip local students for the evolving workforce in Gaston County</w:t>
      </w:r>
      <w:r w:rsidR="002D6B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school now offers a curriculum of technology or industrial engineering. The High School in particular has begun a special choice school academy, where by students fro</w:t>
      </w:r>
      <w:bookmarkStart w:id="0" w:name="_GoBack"/>
      <w:bookmarkEnd w:id="0"/>
      <w:r>
        <w:rPr>
          <w:rFonts w:ascii="Times New Roman" w:hAnsi="Times New Roman" w:cs="Times New Roman"/>
          <w:color w:val="000000"/>
          <w:sz w:val="24"/>
          <w:szCs w:val="24"/>
        </w:rPr>
        <w:t xml:space="preserve">m outside of the district could register to obtain various CTE certifications and experience with advanced technology. In addition, the Middle School has begun a special curriculum where by students are able to enroll in an engineering academy and receive high school credits. Bessemer City Central and Primary both have innovative stations that integrate students learning by making real life connections with advanced technology. </w:t>
      </w: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2F0D1E"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 xml:space="preserve">Mayor Smith opened the floor for public comment. </w:t>
      </w:r>
      <w:r w:rsidR="002F0D1E">
        <w:rPr>
          <w:rFonts w:ascii="Times New Roman" w:eastAsia="Times New Roman" w:hAnsi="Times New Roman" w:cs="Times New Roman"/>
          <w:sz w:val="24"/>
          <w:szCs w:val="24"/>
        </w:rPr>
        <w:t xml:space="preserve">The following individuals came forward: </w:t>
      </w:r>
    </w:p>
    <w:p w:rsidR="002F0D1E" w:rsidRDefault="002F0D1E" w:rsidP="004D0B22">
      <w:pPr>
        <w:spacing w:after="0"/>
        <w:jc w:val="both"/>
        <w:rPr>
          <w:rFonts w:ascii="Times New Roman" w:eastAsia="Times New Roman" w:hAnsi="Times New Roman" w:cs="Times New Roman"/>
          <w:sz w:val="24"/>
          <w:szCs w:val="24"/>
        </w:rPr>
      </w:pPr>
    </w:p>
    <w:p w:rsidR="00C466B9" w:rsidRDefault="00226F13" w:rsidP="002F0D1E">
      <w:pPr>
        <w:pStyle w:val="ListParagraph"/>
        <w:numPr>
          <w:ilvl w:val="0"/>
          <w:numId w:val="17"/>
        </w:numPr>
        <w:spacing w:after="0"/>
        <w:jc w:val="both"/>
        <w:rPr>
          <w:rFonts w:ascii="Times New Roman" w:eastAsia="Times New Roman" w:hAnsi="Times New Roman" w:cs="Times New Roman"/>
          <w:sz w:val="24"/>
          <w:szCs w:val="24"/>
        </w:rPr>
      </w:pPr>
      <w:r w:rsidRPr="00226F13">
        <w:rPr>
          <w:rFonts w:ascii="Times New Roman" w:eastAsia="Times New Roman" w:hAnsi="Times New Roman" w:cs="Times New Roman"/>
          <w:sz w:val="24"/>
          <w:szCs w:val="24"/>
          <w:u w:val="single"/>
        </w:rPr>
        <w:t>Chris Castro of Selective Service System Local Board Members</w:t>
      </w:r>
      <w:r>
        <w:rPr>
          <w:rFonts w:ascii="Times New Roman" w:eastAsia="Times New Roman" w:hAnsi="Times New Roman" w:cs="Times New Roman"/>
          <w:sz w:val="24"/>
          <w:szCs w:val="24"/>
        </w:rPr>
        <w:t>- Mr. Castro addressed Council regarding vacancies on Gaston County’s Selective Service System Local Board. The five member board currently has three vacancies, and is inoperable. The Board is responsible for making decisions regarding</w:t>
      </w:r>
      <w:r w:rsidR="00CA3C85">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to receive or defer, when and if the Congress and President reinstate a military draft. Each term is 20 years and receives recognition from the NC Governor’s office. Mr. Castro left information on how citizens could apply with Council. </w:t>
      </w:r>
    </w:p>
    <w:p w:rsidR="003C64A4" w:rsidRPr="00226F13" w:rsidRDefault="00226F13" w:rsidP="00226F13">
      <w:pPr>
        <w:pStyle w:val="ListParagraph"/>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Scott Noblett of 109 S. Inman Avenue- Mr. Noblett addressed Council regarding a traffic concern. Mr. Noblett informed Council that a four way stop was needed at the intersection of 14</w:t>
      </w:r>
      <w:r w:rsidRPr="00226F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and Highway 274 coming into W. Carolina. There have bee</w:t>
      </w:r>
      <w:r w:rsidR="002D6BFA">
        <w:rPr>
          <w:rFonts w:ascii="Times New Roman" w:eastAsia="Times New Roman" w:hAnsi="Times New Roman" w:cs="Times New Roman"/>
          <w:sz w:val="24"/>
          <w:szCs w:val="24"/>
        </w:rPr>
        <w:t>n a number of vehicles come through</w:t>
      </w:r>
      <w:r>
        <w:rPr>
          <w:rFonts w:ascii="Times New Roman" w:eastAsia="Times New Roman" w:hAnsi="Times New Roman" w:cs="Times New Roman"/>
          <w:sz w:val="24"/>
          <w:szCs w:val="24"/>
        </w:rPr>
        <w:t xml:space="preserve"> at dangerous speed at this intersection. </w:t>
      </w: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lastRenderedPageBreak/>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9B5EE4">
        <w:rPr>
          <w:rFonts w:ascii="Times New Roman" w:eastAsia="Times New Roman" w:hAnsi="Times New Roman" w:cs="Times New Roman"/>
          <w:sz w:val="24"/>
          <w:szCs w:val="24"/>
        </w:rPr>
        <w:t>Kay McCathen</w:t>
      </w:r>
      <w:r w:rsidR="0011124F" w:rsidRPr="0011124F">
        <w:rPr>
          <w:rFonts w:ascii="Times New Roman" w:eastAsia="Times New Roman" w:hAnsi="Times New Roman" w:cs="Times New Roman"/>
          <w:sz w:val="24"/>
          <w:szCs w:val="24"/>
        </w:rPr>
        <w:t>:</w:t>
      </w:r>
    </w:p>
    <w:p w:rsidR="006905C0" w:rsidRPr="009B5EE4"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226F13">
        <w:rPr>
          <w:rFonts w:ascii="Times New Roman" w:eastAsia="Calibri" w:hAnsi="Times New Roman" w:cs="Times New Roman"/>
          <w:sz w:val="24"/>
          <w:szCs w:val="20"/>
        </w:rPr>
        <w:t>May 13</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9B5EE4">
        <w:rPr>
          <w:rFonts w:ascii="Times New Roman" w:eastAsia="Calibri" w:hAnsi="Times New Roman" w:cs="Times New Roman"/>
          <w:sz w:val="24"/>
          <w:szCs w:val="20"/>
        </w:rPr>
        <w:t xml:space="preserve"> </w:t>
      </w:r>
      <w:r w:rsidR="00840004">
        <w:rPr>
          <w:rFonts w:ascii="Times New Roman" w:eastAsia="Calibri" w:hAnsi="Times New Roman" w:cs="Times New Roman"/>
          <w:sz w:val="24"/>
          <w:szCs w:val="20"/>
        </w:rPr>
        <w:t>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9B5EE4">
        <w:rPr>
          <w:rFonts w:ascii="Times New Roman" w:eastAsia="Calibri" w:hAnsi="Times New Roman" w:cs="Times New Roman"/>
          <w:sz w:val="24"/>
          <w:szCs w:val="20"/>
        </w:rPr>
        <w:t xml:space="preserve">utes of </w:t>
      </w:r>
      <w:r w:rsidR="00226F13">
        <w:rPr>
          <w:rFonts w:ascii="Times New Roman" w:eastAsia="Calibri" w:hAnsi="Times New Roman" w:cs="Times New Roman"/>
          <w:sz w:val="24"/>
          <w:szCs w:val="20"/>
        </w:rPr>
        <w:t>May 21</w:t>
      </w:r>
      <w:r w:rsidR="00226F13" w:rsidRPr="00226F13">
        <w:rPr>
          <w:rFonts w:ascii="Times New Roman" w:eastAsia="Calibri" w:hAnsi="Times New Roman" w:cs="Times New Roman"/>
          <w:sz w:val="24"/>
          <w:szCs w:val="20"/>
          <w:vertAlign w:val="superscript"/>
        </w:rPr>
        <w:t>st</w:t>
      </w:r>
      <w:r w:rsidR="007934FD">
        <w:rPr>
          <w:rFonts w:ascii="Times New Roman" w:eastAsia="Calibri" w:hAnsi="Times New Roman" w:cs="Times New Roman"/>
          <w:sz w:val="24"/>
          <w:szCs w:val="20"/>
        </w:rPr>
        <w:t>, 2019</w:t>
      </w:r>
      <w:r w:rsidR="00501A72">
        <w:rPr>
          <w:rFonts w:ascii="Times New Roman" w:eastAsia="Calibri" w:hAnsi="Times New Roman" w:cs="Times New Roman"/>
          <w:sz w:val="24"/>
          <w:szCs w:val="20"/>
        </w:rPr>
        <w:t xml:space="preserve">. </w:t>
      </w:r>
    </w:p>
    <w:p w:rsidR="009B5EE4" w:rsidRPr="00F93EE5" w:rsidRDefault="009B5EE4"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 xml:space="preserve">Ratify </w:t>
      </w:r>
      <w:r w:rsidR="00F93EE5">
        <w:rPr>
          <w:rFonts w:ascii="Times New Roman" w:eastAsia="Calibri" w:hAnsi="Times New Roman" w:cs="Times New Roman"/>
          <w:sz w:val="24"/>
          <w:szCs w:val="20"/>
          <w:u w:val="single"/>
        </w:rPr>
        <w:t>Proclamation Honoring Mary Hook</w:t>
      </w:r>
      <w:r>
        <w:rPr>
          <w:rFonts w:ascii="Times New Roman" w:eastAsia="Calibri" w:hAnsi="Times New Roman" w:cs="Times New Roman"/>
          <w:sz w:val="24"/>
          <w:szCs w:val="20"/>
        </w:rPr>
        <w:t xml:space="preserve">- </w:t>
      </w:r>
      <w:r w:rsidR="009E3ED7">
        <w:rPr>
          <w:rFonts w:ascii="Times New Roman" w:eastAsia="Calibri" w:hAnsi="Times New Roman" w:cs="Times New Roman"/>
          <w:sz w:val="24"/>
          <w:szCs w:val="20"/>
        </w:rPr>
        <w:t xml:space="preserve">Council will consider ratifying a proclamation </w:t>
      </w:r>
      <w:r w:rsidR="00F93EE5">
        <w:rPr>
          <w:rFonts w:ascii="Times New Roman" w:eastAsia="Calibri" w:hAnsi="Times New Roman" w:cs="Times New Roman"/>
          <w:sz w:val="24"/>
          <w:szCs w:val="20"/>
        </w:rPr>
        <w:t>that honored Ms. Mary Hook for her contributions to the City on June 2</w:t>
      </w:r>
      <w:r w:rsidR="00F93EE5" w:rsidRPr="00F93EE5">
        <w:rPr>
          <w:rFonts w:ascii="Times New Roman" w:eastAsia="Calibri" w:hAnsi="Times New Roman" w:cs="Times New Roman"/>
          <w:sz w:val="24"/>
          <w:szCs w:val="20"/>
          <w:vertAlign w:val="superscript"/>
        </w:rPr>
        <w:t>nd</w:t>
      </w:r>
      <w:r w:rsidR="00F93EE5">
        <w:rPr>
          <w:rFonts w:ascii="Times New Roman" w:eastAsia="Calibri" w:hAnsi="Times New Roman" w:cs="Times New Roman"/>
          <w:sz w:val="24"/>
          <w:szCs w:val="20"/>
        </w:rPr>
        <w:t>, 2019</w:t>
      </w:r>
      <w:r w:rsidR="009E3ED7">
        <w:rPr>
          <w:rFonts w:ascii="Times New Roman" w:eastAsia="Calibri" w:hAnsi="Times New Roman" w:cs="Times New Roman"/>
          <w:sz w:val="24"/>
          <w:szCs w:val="20"/>
        </w:rPr>
        <w:t xml:space="preserve">. </w:t>
      </w:r>
    </w:p>
    <w:p w:rsidR="00F93EE5" w:rsidRPr="009B5EE4" w:rsidRDefault="00F93EE5" w:rsidP="00F93EE5">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 xml:space="preserve">Ratify </w:t>
      </w:r>
      <w:r>
        <w:rPr>
          <w:rFonts w:ascii="Times New Roman" w:eastAsia="Calibri" w:hAnsi="Times New Roman" w:cs="Times New Roman"/>
          <w:sz w:val="24"/>
          <w:szCs w:val="20"/>
          <w:u w:val="single"/>
        </w:rPr>
        <w:t>Proclamation 100</w:t>
      </w:r>
      <w:r w:rsidRPr="00F93EE5">
        <w:rPr>
          <w:rFonts w:ascii="Times New Roman" w:eastAsia="Calibri" w:hAnsi="Times New Roman" w:cs="Times New Roman"/>
          <w:sz w:val="24"/>
          <w:szCs w:val="20"/>
          <w:u w:val="single"/>
          <w:vertAlign w:val="superscript"/>
        </w:rPr>
        <w:t>th</w:t>
      </w:r>
      <w:r>
        <w:rPr>
          <w:rFonts w:ascii="Times New Roman" w:eastAsia="Calibri" w:hAnsi="Times New Roman" w:cs="Times New Roman"/>
          <w:sz w:val="24"/>
          <w:szCs w:val="20"/>
          <w:u w:val="single"/>
        </w:rPr>
        <w:t xml:space="preserve"> Birthday of Mrs. Beatrice Russell</w:t>
      </w:r>
      <w:r>
        <w:rPr>
          <w:rFonts w:ascii="Times New Roman" w:eastAsia="Calibri" w:hAnsi="Times New Roman" w:cs="Times New Roman"/>
          <w:sz w:val="24"/>
          <w:szCs w:val="20"/>
        </w:rPr>
        <w:t>- Council will consider ratifying a proclamation that honored Ms. Beatrice Russell’s 100 birthday on June 2</w:t>
      </w:r>
      <w:r w:rsidRPr="00F93EE5">
        <w:rPr>
          <w:rFonts w:ascii="Times New Roman" w:eastAsia="Calibri" w:hAnsi="Times New Roman" w:cs="Times New Roman"/>
          <w:sz w:val="24"/>
          <w:szCs w:val="20"/>
          <w:vertAlign w:val="superscript"/>
        </w:rPr>
        <w:t>nd</w:t>
      </w:r>
      <w:r>
        <w:rPr>
          <w:rFonts w:ascii="Times New Roman" w:eastAsia="Calibri" w:hAnsi="Times New Roman" w:cs="Times New Roman"/>
          <w:sz w:val="24"/>
          <w:szCs w:val="20"/>
        </w:rPr>
        <w:t xml:space="preserve">, 2019. </w:t>
      </w:r>
    </w:p>
    <w:p w:rsidR="00136098" w:rsidRPr="00F93EE5" w:rsidRDefault="00136098" w:rsidP="00F93EE5">
      <w:pPr>
        <w:spacing w:after="0" w:line="240" w:lineRule="auto"/>
        <w:jc w:val="both"/>
        <w:rPr>
          <w:rFonts w:ascii="Times New Roman" w:eastAsia="Calibri" w:hAnsi="Times New Roman" w:cs="Times New Roman"/>
          <w:sz w:val="24"/>
          <w:szCs w:val="20"/>
          <w:u w:val="single"/>
        </w:rPr>
      </w:pPr>
    </w:p>
    <w:p w:rsidR="009E3ED7" w:rsidRPr="006C277C" w:rsidRDefault="00F93EE5" w:rsidP="009E3ED7">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Appointments</w:t>
      </w:r>
    </w:p>
    <w:p w:rsidR="009E3ED7" w:rsidRDefault="00F93EE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addressed Council regarding ABC, Planning &amp; Zoning, and Downtown Development Board appointments. </w:t>
      </w:r>
      <w:r w:rsidR="00E97E38">
        <w:rPr>
          <w:rFonts w:ascii="Times New Roman" w:hAnsi="Times New Roman" w:cs="Times New Roman"/>
          <w:sz w:val="24"/>
          <w:szCs w:val="24"/>
        </w:rPr>
        <w:t>City Manager Inman recommended the following appointments</w:t>
      </w:r>
      <w:r>
        <w:rPr>
          <w:rFonts w:ascii="Times New Roman" w:hAnsi="Times New Roman" w:cs="Times New Roman"/>
          <w:sz w:val="24"/>
          <w:szCs w:val="24"/>
        </w:rPr>
        <w:t xml:space="preserve">: </w:t>
      </w:r>
    </w:p>
    <w:p w:rsidR="00F93EE5" w:rsidRDefault="00F93EE5" w:rsidP="009E3ED7">
      <w:pPr>
        <w:spacing w:after="0"/>
        <w:contextualSpacing/>
        <w:jc w:val="both"/>
        <w:rPr>
          <w:rFonts w:ascii="Times New Roman" w:hAnsi="Times New Roman" w:cs="Times New Roman"/>
          <w:sz w:val="24"/>
          <w:szCs w:val="24"/>
        </w:rPr>
      </w:pPr>
    </w:p>
    <w:p w:rsidR="00F93EE5" w:rsidRDefault="00F93EE5" w:rsidP="009E3ED7">
      <w:pPr>
        <w:spacing w:after="0"/>
        <w:contextualSpacing/>
        <w:jc w:val="both"/>
        <w:rPr>
          <w:rFonts w:ascii="Times New Roman" w:hAnsi="Times New Roman" w:cs="Times New Roman"/>
          <w:sz w:val="24"/>
          <w:szCs w:val="24"/>
          <w:u w:val="single"/>
        </w:rPr>
      </w:pPr>
      <w:r w:rsidRPr="00F93EE5">
        <w:rPr>
          <w:rFonts w:ascii="Times New Roman" w:hAnsi="Times New Roman" w:cs="Times New Roman"/>
          <w:sz w:val="24"/>
          <w:szCs w:val="24"/>
          <w:u w:val="single"/>
        </w:rPr>
        <w:t>ABC Board</w:t>
      </w:r>
    </w:p>
    <w:p w:rsidR="00F93EE5" w:rsidRDefault="00F93EE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Robert Crouch (Chair) 2019-2020</w:t>
      </w:r>
    </w:p>
    <w:p w:rsidR="00F93EE5" w:rsidRDefault="00F93EE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Robert Crouch (Member) 2019-2022</w:t>
      </w:r>
    </w:p>
    <w:p w:rsidR="00F93EE5" w:rsidRDefault="00F93EE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Michael Brooks (Member) 2019-2022</w:t>
      </w:r>
    </w:p>
    <w:p w:rsidR="00E97E38" w:rsidRDefault="00E97E38" w:rsidP="009E3ED7">
      <w:pPr>
        <w:spacing w:after="0"/>
        <w:contextualSpacing/>
        <w:jc w:val="both"/>
        <w:rPr>
          <w:rFonts w:ascii="Times New Roman" w:hAnsi="Times New Roman" w:cs="Times New Roman"/>
          <w:sz w:val="24"/>
          <w:szCs w:val="24"/>
        </w:rPr>
      </w:pPr>
    </w:p>
    <w:p w:rsidR="00F93EE5" w:rsidRDefault="00E97E38"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Sonny Boyd and unanimous vote, the ABC Board appointments were approved. </w:t>
      </w:r>
    </w:p>
    <w:p w:rsidR="00E97E38" w:rsidRDefault="00E97E38" w:rsidP="009E3ED7">
      <w:pPr>
        <w:spacing w:after="0"/>
        <w:contextualSpacing/>
        <w:jc w:val="both"/>
        <w:rPr>
          <w:rFonts w:ascii="Times New Roman" w:hAnsi="Times New Roman" w:cs="Times New Roman"/>
          <w:sz w:val="24"/>
          <w:szCs w:val="24"/>
        </w:rPr>
      </w:pPr>
    </w:p>
    <w:p w:rsidR="00F93EE5" w:rsidRDefault="00F93EE5" w:rsidP="009E3ED7">
      <w:pPr>
        <w:spacing w:after="0"/>
        <w:contextualSpacing/>
        <w:jc w:val="both"/>
        <w:rPr>
          <w:rFonts w:ascii="Times New Roman" w:hAnsi="Times New Roman" w:cs="Times New Roman"/>
          <w:sz w:val="24"/>
          <w:szCs w:val="24"/>
          <w:u w:val="single"/>
        </w:rPr>
      </w:pPr>
      <w:r w:rsidRPr="00F93EE5">
        <w:rPr>
          <w:rFonts w:ascii="Times New Roman" w:hAnsi="Times New Roman" w:cs="Times New Roman"/>
          <w:sz w:val="24"/>
          <w:szCs w:val="24"/>
          <w:u w:val="single"/>
        </w:rPr>
        <w:t>Downtown Development</w:t>
      </w:r>
    </w:p>
    <w:p w:rsidR="00701D35" w:rsidRDefault="00701D3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Nellie Floyd (Member) 2019-2022</w:t>
      </w:r>
    </w:p>
    <w:p w:rsidR="00701D35" w:rsidRDefault="00701D35"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Tracie Anderson (Member) 2019-2022</w:t>
      </w:r>
    </w:p>
    <w:p w:rsidR="00701D35" w:rsidRDefault="00701D35" w:rsidP="009E3ED7">
      <w:pPr>
        <w:spacing w:after="0"/>
        <w:contextualSpacing/>
        <w:jc w:val="both"/>
        <w:rPr>
          <w:rFonts w:ascii="Times New Roman" w:hAnsi="Times New Roman" w:cs="Times New Roman"/>
          <w:sz w:val="24"/>
          <w:szCs w:val="24"/>
        </w:rPr>
      </w:pPr>
    </w:p>
    <w:p w:rsidR="00E97E38" w:rsidRDefault="00E97E38"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Donnie Griffin and unanimous vote, the Downtown Development appointments were approved. </w:t>
      </w:r>
    </w:p>
    <w:p w:rsidR="00E97E38" w:rsidRDefault="00E97E38" w:rsidP="009E3ED7">
      <w:pPr>
        <w:spacing w:after="0"/>
        <w:contextualSpacing/>
        <w:jc w:val="both"/>
        <w:rPr>
          <w:rFonts w:ascii="Times New Roman" w:hAnsi="Times New Roman" w:cs="Times New Roman"/>
          <w:sz w:val="24"/>
          <w:szCs w:val="24"/>
        </w:rPr>
      </w:pPr>
    </w:p>
    <w:p w:rsidR="00701D35" w:rsidRDefault="00701D35" w:rsidP="009E3ED7">
      <w:pPr>
        <w:spacing w:after="0"/>
        <w:contextualSpacing/>
        <w:jc w:val="both"/>
        <w:rPr>
          <w:rFonts w:ascii="Times New Roman" w:hAnsi="Times New Roman" w:cs="Times New Roman"/>
          <w:sz w:val="24"/>
          <w:szCs w:val="24"/>
          <w:u w:val="single"/>
        </w:rPr>
      </w:pPr>
      <w:r w:rsidRPr="00701D35">
        <w:rPr>
          <w:rFonts w:ascii="Times New Roman" w:hAnsi="Times New Roman" w:cs="Times New Roman"/>
          <w:sz w:val="24"/>
          <w:szCs w:val="24"/>
          <w:u w:val="single"/>
        </w:rPr>
        <w:t>Planning &amp; Zoning Board of Adjustments</w:t>
      </w:r>
    </w:p>
    <w:p w:rsidR="00701D35" w:rsidRDefault="00201551"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Danny Garrett (Chair) 2019-2020</w:t>
      </w:r>
    </w:p>
    <w:p w:rsidR="00201551" w:rsidRDefault="00201551"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Jean Floyd (Vice Chair) 2019-2020</w:t>
      </w:r>
    </w:p>
    <w:p w:rsidR="00E97E38" w:rsidRDefault="00E97E38" w:rsidP="009E3ED7">
      <w:pPr>
        <w:spacing w:after="0"/>
        <w:contextualSpacing/>
        <w:jc w:val="both"/>
        <w:rPr>
          <w:rFonts w:ascii="Times New Roman" w:hAnsi="Times New Roman" w:cs="Times New Roman"/>
          <w:sz w:val="24"/>
          <w:szCs w:val="24"/>
        </w:rPr>
      </w:pPr>
      <w:r>
        <w:rPr>
          <w:rFonts w:ascii="Times New Roman" w:hAnsi="Times New Roman" w:cs="Times New Roman"/>
          <w:sz w:val="24"/>
          <w:szCs w:val="24"/>
        </w:rPr>
        <w:t>Allen Hook (Member) 2019-2022</w:t>
      </w:r>
    </w:p>
    <w:p w:rsidR="009E3ED7" w:rsidRDefault="009E3ED7" w:rsidP="009E3ED7">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E97E38">
        <w:rPr>
          <w:rFonts w:ascii="Times New Roman" w:hAnsi="Times New Roman" w:cs="Times New Roman"/>
          <w:sz w:val="24"/>
          <w:szCs w:val="24"/>
        </w:rPr>
        <w:t xml:space="preserve">Dan Boling and unanimous vote, the Planning &amp; Zoning Board of Adjustment appointments were approved. </w:t>
      </w:r>
    </w:p>
    <w:p w:rsidR="008210AC" w:rsidRDefault="008210AC" w:rsidP="008210AC">
      <w:pPr>
        <w:spacing w:before="240" w:line="240" w:lineRule="auto"/>
        <w:contextualSpacing/>
        <w:jc w:val="both"/>
        <w:rPr>
          <w:rFonts w:ascii="Times New Roman" w:hAnsi="Times New Roman" w:cs="Times New Roman"/>
          <w:b/>
          <w:sz w:val="24"/>
          <w:u w:val="single"/>
        </w:rPr>
      </w:pPr>
    </w:p>
    <w:p w:rsidR="008210AC" w:rsidRDefault="00DA7D85" w:rsidP="008210AC">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Public Hearing- </w:t>
      </w:r>
      <w:r w:rsidR="008210AC">
        <w:rPr>
          <w:rFonts w:ascii="Times New Roman" w:hAnsi="Times New Roman" w:cs="Times New Roman"/>
          <w:b/>
          <w:sz w:val="24"/>
          <w:u w:val="single"/>
        </w:rPr>
        <w:t xml:space="preserve">2019-2020 Proposed Budget </w:t>
      </w:r>
    </w:p>
    <w:p w:rsidR="008210AC" w:rsidRPr="00F202B0" w:rsidRDefault="008210AC" w:rsidP="008210AC">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 xml:space="preserve">As required by NCGS 159-12, the City is required to hold a public hearing prior to adopting the fiscal budget. By motion of </w:t>
      </w:r>
      <w:r>
        <w:rPr>
          <w:rFonts w:ascii="Times New Roman" w:hAnsi="Times New Roman" w:cs="Times New Roman"/>
          <w:sz w:val="24"/>
        </w:rPr>
        <w:t>Dan Boling</w:t>
      </w:r>
      <w:r w:rsidRPr="00F202B0">
        <w:rPr>
          <w:rFonts w:ascii="Times New Roman" w:hAnsi="Times New Roman" w:cs="Times New Roman"/>
          <w:sz w:val="24"/>
        </w:rPr>
        <w:t xml:space="preserve"> and unanimous vote, the public hearing </w:t>
      </w:r>
      <w:r>
        <w:rPr>
          <w:rFonts w:ascii="Times New Roman" w:hAnsi="Times New Roman" w:cs="Times New Roman"/>
          <w:sz w:val="24"/>
        </w:rPr>
        <w:t>was opened at 7:43</w:t>
      </w:r>
      <w:r w:rsidRPr="00F202B0">
        <w:rPr>
          <w:rFonts w:ascii="Times New Roman" w:hAnsi="Times New Roman" w:cs="Times New Roman"/>
          <w:sz w:val="24"/>
        </w:rPr>
        <w:t>PM.</w:t>
      </w:r>
    </w:p>
    <w:p w:rsidR="008210AC" w:rsidRPr="00F202B0" w:rsidRDefault="008210AC" w:rsidP="008210AC">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w:t>
      </w:r>
      <w:r>
        <w:rPr>
          <w:rFonts w:ascii="Times New Roman" w:hAnsi="Times New Roman" w:cs="Times New Roman"/>
          <w:sz w:val="24"/>
        </w:rPr>
        <w:t>ne to speak in favor of the 2019-2020</w:t>
      </w:r>
      <w:r w:rsidRPr="00F202B0">
        <w:rPr>
          <w:rFonts w:ascii="Times New Roman" w:hAnsi="Times New Roman" w:cs="Times New Roman"/>
          <w:sz w:val="24"/>
        </w:rPr>
        <w:t xml:space="preserve"> proposed budget. There was none. </w:t>
      </w:r>
    </w:p>
    <w:p w:rsidR="008210AC" w:rsidRDefault="008210AC" w:rsidP="008210AC">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anyone to</w:t>
      </w:r>
      <w:r>
        <w:rPr>
          <w:rFonts w:ascii="Times New Roman" w:hAnsi="Times New Roman" w:cs="Times New Roman"/>
          <w:sz w:val="24"/>
        </w:rPr>
        <w:t xml:space="preserve"> speak in opposition of the 2019-2020 proposed budget. There was none. </w:t>
      </w:r>
    </w:p>
    <w:p w:rsidR="008210AC" w:rsidRDefault="008210AC" w:rsidP="008210AC">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Pr>
          <w:rFonts w:ascii="Times New Roman" w:hAnsi="Times New Roman" w:cs="Times New Roman"/>
          <w:sz w:val="24"/>
        </w:rPr>
        <w:t>Alfred Carpenter</w:t>
      </w:r>
      <w:r w:rsidRPr="00E016AF">
        <w:rPr>
          <w:rFonts w:ascii="Times New Roman" w:hAnsi="Times New Roman" w:cs="Times New Roman"/>
          <w:sz w:val="24"/>
        </w:rPr>
        <w:t xml:space="preserve"> and unanimous vote, </w:t>
      </w:r>
      <w:r>
        <w:rPr>
          <w:rFonts w:ascii="Times New Roman" w:hAnsi="Times New Roman" w:cs="Times New Roman"/>
          <w:sz w:val="24"/>
        </w:rPr>
        <w:t xml:space="preserve">the public hearing to consider the 2019-2020 proposed budget was closed at 7:44PM. </w:t>
      </w:r>
    </w:p>
    <w:p w:rsidR="008210AC" w:rsidRDefault="008210AC" w:rsidP="008210AC">
      <w:pPr>
        <w:spacing w:after="0"/>
        <w:contextualSpacing/>
        <w:jc w:val="both"/>
        <w:rPr>
          <w:rFonts w:ascii="Times New Roman" w:hAnsi="Times New Roman" w:cs="Times New Roman"/>
          <w:sz w:val="24"/>
          <w:szCs w:val="24"/>
        </w:rPr>
      </w:pPr>
    </w:p>
    <w:p w:rsidR="008210AC" w:rsidRPr="0011124F" w:rsidRDefault="00AA1F81" w:rsidP="008210AC">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Ordinance- 2019</w:t>
      </w:r>
      <w:r w:rsidR="008210AC">
        <w:rPr>
          <w:rFonts w:ascii="Times New Roman" w:hAnsi="Times New Roman" w:cs="Times New Roman"/>
          <w:b/>
          <w:sz w:val="24"/>
          <w:szCs w:val="24"/>
          <w:u w:val="single"/>
        </w:rPr>
        <w:t>-2020 Proposed Budget</w:t>
      </w:r>
    </w:p>
    <w:p w:rsidR="008210AC" w:rsidRDefault="008210AC" w:rsidP="008210A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Light discussion between Council ensued regarding the proposed 2019-2020 budget. Council member Joe Will raised a concern </w:t>
      </w:r>
      <w:r w:rsidR="005C45FB">
        <w:rPr>
          <w:rFonts w:ascii="Times New Roman" w:hAnsi="Times New Roman" w:cs="Times New Roman"/>
          <w:sz w:val="24"/>
          <w:szCs w:val="24"/>
        </w:rPr>
        <w:t xml:space="preserve">about the tax rate. Mr. Will </w:t>
      </w:r>
      <w:r w:rsidR="002D6BFA">
        <w:rPr>
          <w:rFonts w:ascii="Times New Roman" w:hAnsi="Times New Roman" w:cs="Times New Roman"/>
          <w:sz w:val="24"/>
          <w:szCs w:val="24"/>
        </w:rPr>
        <w:t>expressed his concern regarding a revenue neutral tax rate.</w:t>
      </w:r>
    </w:p>
    <w:p w:rsidR="008210AC" w:rsidRDefault="008210AC" w:rsidP="008210AC">
      <w:pPr>
        <w:spacing w:after="0"/>
        <w:contextualSpacing/>
        <w:jc w:val="both"/>
        <w:rPr>
          <w:rFonts w:ascii="Times New Roman" w:hAnsi="Times New Roman" w:cs="Times New Roman"/>
          <w:sz w:val="24"/>
          <w:szCs w:val="24"/>
        </w:rPr>
      </w:pPr>
    </w:p>
    <w:p w:rsidR="008210AC" w:rsidRDefault="008210AC" w:rsidP="008210A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Dan Boling and 5:1 vote with Joe Will in opposition, the 2019-2020 proposed budget was adopted. A copy of this ordinance has been attached for citizen review. </w:t>
      </w:r>
    </w:p>
    <w:p w:rsidR="009E3ED7" w:rsidRDefault="009E3ED7" w:rsidP="00685DDD">
      <w:pPr>
        <w:tabs>
          <w:tab w:val="left" w:pos="10980"/>
        </w:tabs>
        <w:spacing w:after="160" w:line="240" w:lineRule="auto"/>
        <w:contextualSpacing/>
        <w:rPr>
          <w:rFonts w:ascii="Times New Roman" w:hAnsi="Times New Roman" w:cs="Times New Roman"/>
          <w:b/>
          <w:sz w:val="24"/>
          <w:szCs w:val="24"/>
          <w:u w:val="single"/>
        </w:rPr>
      </w:pPr>
    </w:p>
    <w:p w:rsidR="005C45FB" w:rsidRDefault="00DA7D85" w:rsidP="005C45FB">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Public Hearing- </w:t>
      </w:r>
      <w:r w:rsidR="005C45FB">
        <w:rPr>
          <w:rFonts w:ascii="Times New Roman" w:hAnsi="Times New Roman" w:cs="Times New Roman"/>
          <w:b/>
          <w:sz w:val="24"/>
          <w:u w:val="single"/>
        </w:rPr>
        <w:t xml:space="preserve">Recycling Ordinance </w:t>
      </w:r>
    </w:p>
    <w:p w:rsidR="005C45FB" w:rsidRPr="00F202B0" w:rsidRDefault="005C45FB" w:rsidP="005C45FB">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 xml:space="preserve">By motion of </w:t>
      </w:r>
      <w:r>
        <w:rPr>
          <w:rFonts w:ascii="Times New Roman" w:hAnsi="Times New Roman" w:cs="Times New Roman"/>
          <w:sz w:val="24"/>
        </w:rPr>
        <w:t>Donnie Griffin</w:t>
      </w:r>
      <w:r w:rsidRPr="00F202B0">
        <w:rPr>
          <w:rFonts w:ascii="Times New Roman" w:hAnsi="Times New Roman" w:cs="Times New Roman"/>
          <w:sz w:val="24"/>
        </w:rPr>
        <w:t xml:space="preserve"> and unanimous vote, the public hearing </w:t>
      </w:r>
      <w:r>
        <w:rPr>
          <w:rFonts w:ascii="Times New Roman" w:hAnsi="Times New Roman" w:cs="Times New Roman"/>
          <w:sz w:val="24"/>
        </w:rPr>
        <w:t>was opened at 7:54</w:t>
      </w:r>
      <w:r w:rsidRPr="00F202B0">
        <w:rPr>
          <w:rFonts w:ascii="Times New Roman" w:hAnsi="Times New Roman" w:cs="Times New Roman"/>
          <w:sz w:val="24"/>
        </w:rPr>
        <w:t>PM.</w:t>
      </w:r>
    </w:p>
    <w:p w:rsidR="005C45FB" w:rsidRPr="00F202B0" w:rsidRDefault="005C45FB" w:rsidP="005C45FB">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w:t>
      </w:r>
      <w:r>
        <w:rPr>
          <w:rFonts w:ascii="Times New Roman" w:hAnsi="Times New Roman" w:cs="Times New Roman"/>
          <w:sz w:val="24"/>
        </w:rPr>
        <w:t>ne to speak in favor of the recycling ordinance</w:t>
      </w:r>
      <w:r w:rsidRPr="00F202B0">
        <w:rPr>
          <w:rFonts w:ascii="Times New Roman" w:hAnsi="Times New Roman" w:cs="Times New Roman"/>
          <w:sz w:val="24"/>
        </w:rPr>
        <w:t xml:space="preserve">. There was none. </w:t>
      </w:r>
    </w:p>
    <w:p w:rsidR="005C45FB" w:rsidRDefault="005C45FB" w:rsidP="005C45FB">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anyone to</w:t>
      </w:r>
      <w:r>
        <w:rPr>
          <w:rFonts w:ascii="Times New Roman" w:hAnsi="Times New Roman" w:cs="Times New Roman"/>
          <w:sz w:val="24"/>
        </w:rPr>
        <w:t xml:space="preserve"> speak in opposition of the recycling ordinance. There was none. </w:t>
      </w:r>
    </w:p>
    <w:p w:rsidR="005C45FB" w:rsidRDefault="005C45FB" w:rsidP="005C45FB">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Pr>
          <w:rFonts w:ascii="Times New Roman" w:hAnsi="Times New Roman" w:cs="Times New Roman"/>
          <w:sz w:val="24"/>
        </w:rPr>
        <w:t>Alfred Carpenter</w:t>
      </w:r>
      <w:r w:rsidRPr="00E016AF">
        <w:rPr>
          <w:rFonts w:ascii="Times New Roman" w:hAnsi="Times New Roman" w:cs="Times New Roman"/>
          <w:sz w:val="24"/>
        </w:rPr>
        <w:t xml:space="preserve"> and unanimous vote, </w:t>
      </w:r>
      <w:r>
        <w:rPr>
          <w:rFonts w:ascii="Times New Roman" w:hAnsi="Times New Roman" w:cs="Times New Roman"/>
          <w:sz w:val="24"/>
        </w:rPr>
        <w:t xml:space="preserve">the public hearing to consider the proposed recycling ordinance was closed at 7:55PM. </w:t>
      </w:r>
    </w:p>
    <w:p w:rsidR="005C45FB" w:rsidRDefault="005C45FB" w:rsidP="000E12D8">
      <w:pPr>
        <w:tabs>
          <w:tab w:val="left" w:pos="10980"/>
        </w:tabs>
        <w:spacing w:after="0" w:line="240" w:lineRule="auto"/>
        <w:contextualSpacing/>
        <w:rPr>
          <w:rFonts w:ascii="Times New Roman" w:hAnsi="Times New Roman" w:cs="Times New Roman"/>
          <w:b/>
          <w:sz w:val="24"/>
          <w:szCs w:val="24"/>
          <w:u w:val="single"/>
        </w:rPr>
      </w:pPr>
    </w:p>
    <w:p w:rsidR="000E12D8" w:rsidRDefault="008210AC" w:rsidP="000E12D8">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Recycling </w:t>
      </w:r>
      <w:r w:rsidR="000E12D8">
        <w:rPr>
          <w:rFonts w:ascii="Times New Roman" w:hAnsi="Times New Roman" w:cs="Times New Roman"/>
          <w:b/>
          <w:sz w:val="24"/>
          <w:szCs w:val="24"/>
          <w:u w:val="single"/>
        </w:rPr>
        <w:t xml:space="preserve">Ordinance </w:t>
      </w:r>
    </w:p>
    <w:p w:rsidR="000E12D8" w:rsidRDefault="005C45FB"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City Manager Inman presented Council with a draft ordinance regarding recycling, prepared by Attorney Smith. If adopted, this ordinance would allow City staff to give warnings and citations to citizens regarding improper recycling habits. </w:t>
      </w:r>
    </w:p>
    <w:p w:rsidR="005C45FB" w:rsidRDefault="005C45FB" w:rsidP="000E12D8">
      <w:pPr>
        <w:spacing w:after="0"/>
        <w:contextualSpacing/>
        <w:jc w:val="both"/>
        <w:rPr>
          <w:rFonts w:ascii="Times New Roman" w:hAnsi="Times New Roman" w:cs="Times New Roman"/>
          <w:sz w:val="24"/>
        </w:rPr>
      </w:pPr>
    </w:p>
    <w:p w:rsidR="005C45FB" w:rsidRDefault="005C45FB"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By motion of Alfred Carpenter and unanimous vote, the proposed recycling ordinance was adopted. A copy of this ordinance has been attached for citizen review. </w:t>
      </w:r>
    </w:p>
    <w:p w:rsidR="005C45FB" w:rsidRDefault="005C45FB" w:rsidP="000E12D8">
      <w:pPr>
        <w:spacing w:after="0"/>
        <w:contextualSpacing/>
        <w:jc w:val="both"/>
        <w:rPr>
          <w:rFonts w:ascii="Times New Roman" w:hAnsi="Times New Roman" w:cs="Times New Roman"/>
          <w:sz w:val="24"/>
        </w:rPr>
      </w:pPr>
    </w:p>
    <w:p w:rsidR="00D85A38" w:rsidRDefault="00D85A38" w:rsidP="00D85A38">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Public Hearing- </w:t>
      </w:r>
      <w:r>
        <w:rPr>
          <w:rFonts w:ascii="Times New Roman" w:hAnsi="Times New Roman" w:cs="Times New Roman"/>
          <w:b/>
          <w:sz w:val="24"/>
          <w:szCs w:val="24"/>
          <w:u w:val="single"/>
        </w:rPr>
        <w:t>Amending Code of Ordinances on Grass and Debris within the Right of Way</w:t>
      </w:r>
    </w:p>
    <w:p w:rsidR="00D85A38" w:rsidRPr="00F202B0" w:rsidRDefault="00D85A38" w:rsidP="00D85A3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 xml:space="preserve">By motion of </w:t>
      </w:r>
      <w:r>
        <w:rPr>
          <w:rFonts w:ascii="Times New Roman" w:hAnsi="Times New Roman" w:cs="Times New Roman"/>
          <w:sz w:val="24"/>
        </w:rPr>
        <w:t>Alfred Carpenter</w:t>
      </w:r>
      <w:r w:rsidRPr="00F202B0">
        <w:rPr>
          <w:rFonts w:ascii="Times New Roman" w:hAnsi="Times New Roman" w:cs="Times New Roman"/>
          <w:sz w:val="24"/>
        </w:rPr>
        <w:t xml:space="preserve"> and unanimous vote, the public hearing </w:t>
      </w:r>
      <w:r>
        <w:rPr>
          <w:rFonts w:ascii="Times New Roman" w:hAnsi="Times New Roman" w:cs="Times New Roman"/>
          <w:sz w:val="24"/>
        </w:rPr>
        <w:t>was opened at 8:01</w:t>
      </w:r>
      <w:r w:rsidRPr="00F202B0">
        <w:rPr>
          <w:rFonts w:ascii="Times New Roman" w:hAnsi="Times New Roman" w:cs="Times New Roman"/>
          <w:sz w:val="24"/>
        </w:rPr>
        <w:t>PM.</w:t>
      </w:r>
    </w:p>
    <w:p w:rsidR="00D85A38" w:rsidRDefault="00D85A38" w:rsidP="00D85A3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w:t>
      </w:r>
      <w:r>
        <w:rPr>
          <w:rFonts w:ascii="Times New Roman" w:hAnsi="Times New Roman" w:cs="Times New Roman"/>
          <w:sz w:val="24"/>
        </w:rPr>
        <w:t xml:space="preserve">ne to speak in favor of amending the code of ordinances on grass debris. The following individual came forth: </w:t>
      </w:r>
    </w:p>
    <w:p w:rsidR="00D85A38" w:rsidRPr="00D85A38" w:rsidRDefault="00D85A38" w:rsidP="00D85A38">
      <w:pPr>
        <w:pStyle w:val="ListParagraph"/>
        <w:numPr>
          <w:ilvl w:val="0"/>
          <w:numId w:val="20"/>
        </w:numPr>
        <w:spacing w:before="240" w:after="0" w:line="240" w:lineRule="auto"/>
        <w:jc w:val="both"/>
        <w:rPr>
          <w:rFonts w:ascii="Times New Roman" w:hAnsi="Times New Roman" w:cs="Times New Roman"/>
          <w:sz w:val="24"/>
        </w:rPr>
      </w:pPr>
      <w:r>
        <w:rPr>
          <w:rFonts w:ascii="Times New Roman" w:hAnsi="Times New Roman" w:cs="Times New Roman"/>
          <w:sz w:val="24"/>
        </w:rPr>
        <w:t xml:space="preserve">Scott Noblett of 109 S. Inman Ave- As a member of the concerned bikers </w:t>
      </w:r>
      <w:r w:rsidR="00724CB1">
        <w:rPr>
          <w:rFonts w:ascii="Times New Roman" w:hAnsi="Times New Roman" w:cs="Times New Roman"/>
          <w:sz w:val="24"/>
        </w:rPr>
        <w:t xml:space="preserve">of North Carolina club, Mr. Noblett expressed his support of this ordinance. Blown grass and road debris are a hazard to the motorists of this community. </w:t>
      </w:r>
    </w:p>
    <w:p w:rsidR="00D85A38" w:rsidRDefault="00D85A38" w:rsidP="00D85A38">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anyone to</w:t>
      </w:r>
      <w:r w:rsidR="00724CB1">
        <w:rPr>
          <w:rFonts w:ascii="Times New Roman" w:hAnsi="Times New Roman" w:cs="Times New Roman"/>
          <w:sz w:val="24"/>
        </w:rPr>
        <w:t xml:space="preserve"> speak in opposition of amending the code of ordinances on grass debris</w:t>
      </w:r>
      <w:r>
        <w:rPr>
          <w:rFonts w:ascii="Times New Roman" w:hAnsi="Times New Roman" w:cs="Times New Roman"/>
          <w:sz w:val="24"/>
        </w:rPr>
        <w:t xml:space="preserve">. There was none. </w:t>
      </w:r>
    </w:p>
    <w:p w:rsidR="00D85A38" w:rsidRPr="00724CB1" w:rsidRDefault="00D85A38" w:rsidP="00724CB1">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724CB1">
        <w:rPr>
          <w:rFonts w:ascii="Times New Roman" w:hAnsi="Times New Roman" w:cs="Times New Roman"/>
          <w:sz w:val="24"/>
        </w:rPr>
        <w:t>Donnie Griffin</w:t>
      </w:r>
      <w:r w:rsidRPr="00E016AF">
        <w:rPr>
          <w:rFonts w:ascii="Times New Roman" w:hAnsi="Times New Roman" w:cs="Times New Roman"/>
          <w:sz w:val="24"/>
        </w:rPr>
        <w:t xml:space="preserve"> and unanimous vote, </w:t>
      </w:r>
      <w:r>
        <w:rPr>
          <w:rFonts w:ascii="Times New Roman" w:hAnsi="Times New Roman" w:cs="Times New Roman"/>
          <w:sz w:val="24"/>
        </w:rPr>
        <w:t xml:space="preserve">the public hearing to consider the </w:t>
      </w:r>
      <w:r w:rsidR="00724CB1">
        <w:rPr>
          <w:rFonts w:ascii="Times New Roman" w:hAnsi="Times New Roman" w:cs="Times New Roman"/>
          <w:sz w:val="24"/>
        </w:rPr>
        <w:t>amending of the code of</w:t>
      </w:r>
      <w:r>
        <w:rPr>
          <w:rFonts w:ascii="Times New Roman" w:hAnsi="Times New Roman" w:cs="Times New Roman"/>
          <w:sz w:val="24"/>
        </w:rPr>
        <w:t xml:space="preserve"> ordinance</w:t>
      </w:r>
      <w:r w:rsidR="00724CB1">
        <w:rPr>
          <w:rFonts w:ascii="Times New Roman" w:hAnsi="Times New Roman" w:cs="Times New Roman"/>
          <w:sz w:val="24"/>
        </w:rPr>
        <w:t xml:space="preserve">s was closed at 8:03PM. </w:t>
      </w:r>
    </w:p>
    <w:p w:rsidR="00D85A38" w:rsidRDefault="00D85A38" w:rsidP="000E12D8">
      <w:pPr>
        <w:tabs>
          <w:tab w:val="left" w:pos="10980"/>
        </w:tabs>
        <w:spacing w:after="0" w:line="240" w:lineRule="auto"/>
        <w:contextualSpacing/>
        <w:rPr>
          <w:rFonts w:ascii="Times New Roman" w:hAnsi="Times New Roman" w:cs="Times New Roman"/>
          <w:b/>
          <w:sz w:val="24"/>
          <w:szCs w:val="24"/>
          <w:u w:val="single"/>
        </w:rPr>
      </w:pPr>
    </w:p>
    <w:p w:rsidR="000E12D8" w:rsidRDefault="000E12D8" w:rsidP="000E12D8">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Amending Code of Ordinances on Grass and Debris </w:t>
      </w:r>
      <w:r w:rsidR="00710E56">
        <w:rPr>
          <w:rFonts w:ascii="Times New Roman" w:hAnsi="Times New Roman" w:cs="Times New Roman"/>
          <w:b/>
          <w:sz w:val="24"/>
          <w:szCs w:val="24"/>
          <w:u w:val="single"/>
        </w:rPr>
        <w:t>within</w:t>
      </w:r>
      <w:r>
        <w:rPr>
          <w:rFonts w:ascii="Times New Roman" w:hAnsi="Times New Roman" w:cs="Times New Roman"/>
          <w:b/>
          <w:sz w:val="24"/>
          <w:szCs w:val="24"/>
          <w:u w:val="single"/>
        </w:rPr>
        <w:t xml:space="preserve"> the Right of Way </w:t>
      </w:r>
    </w:p>
    <w:p w:rsidR="000E12D8" w:rsidRDefault="00724CB1"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City staff requested that </w:t>
      </w:r>
      <w:r w:rsidR="000E12D8">
        <w:rPr>
          <w:rFonts w:ascii="Times New Roman" w:hAnsi="Times New Roman" w:cs="Times New Roman"/>
          <w:sz w:val="24"/>
        </w:rPr>
        <w:t xml:space="preserve">a proposed grass debris amendment to the code of ordinances be </w:t>
      </w:r>
      <w:r>
        <w:rPr>
          <w:rFonts w:ascii="Times New Roman" w:hAnsi="Times New Roman" w:cs="Times New Roman"/>
          <w:sz w:val="24"/>
        </w:rPr>
        <w:t xml:space="preserve">adopted. Said ordinance amendment would prohibit citizens from spreading debris in the road and establish </w:t>
      </w:r>
      <w:r w:rsidR="008B4F5B">
        <w:rPr>
          <w:rFonts w:ascii="Times New Roman" w:hAnsi="Times New Roman" w:cs="Times New Roman"/>
          <w:sz w:val="24"/>
        </w:rPr>
        <w:t>a penal</w:t>
      </w:r>
      <w:r>
        <w:rPr>
          <w:rFonts w:ascii="Times New Roman" w:hAnsi="Times New Roman" w:cs="Times New Roman"/>
          <w:sz w:val="24"/>
        </w:rPr>
        <w:t xml:space="preserve"> system for violations. </w:t>
      </w:r>
    </w:p>
    <w:p w:rsidR="000E12D8" w:rsidRPr="000E12D8" w:rsidRDefault="000E12D8" w:rsidP="000E12D8">
      <w:pPr>
        <w:spacing w:after="0"/>
        <w:contextualSpacing/>
        <w:jc w:val="both"/>
        <w:rPr>
          <w:rFonts w:ascii="Times New Roman" w:hAnsi="Times New Roman" w:cs="Times New Roman"/>
          <w:sz w:val="24"/>
          <w:szCs w:val="24"/>
        </w:rPr>
      </w:pPr>
      <w:r>
        <w:rPr>
          <w:rFonts w:ascii="Times New Roman" w:hAnsi="Times New Roman" w:cs="Times New Roman"/>
          <w:sz w:val="24"/>
        </w:rPr>
        <w:lastRenderedPageBreak/>
        <w:t xml:space="preserve">By motion of Joe Will and unanimous vote, </w:t>
      </w:r>
      <w:r w:rsidR="00724CB1">
        <w:rPr>
          <w:rFonts w:ascii="Times New Roman" w:hAnsi="Times New Roman" w:cs="Times New Roman"/>
          <w:sz w:val="24"/>
        </w:rPr>
        <w:t>the</w:t>
      </w:r>
      <w:r>
        <w:rPr>
          <w:rFonts w:ascii="Times New Roman" w:hAnsi="Times New Roman" w:cs="Times New Roman"/>
          <w:sz w:val="24"/>
        </w:rPr>
        <w:t xml:space="preserve"> proposed grass debris amendment </w:t>
      </w:r>
      <w:r w:rsidR="00724CB1">
        <w:rPr>
          <w:rFonts w:ascii="Times New Roman" w:hAnsi="Times New Roman" w:cs="Times New Roman"/>
          <w:sz w:val="24"/>
        </w:rPr>
        <w:t xml:space="preserve">was adopted. A copy of the ordinance has been attached for citizen review. </w:t>
      </w:r>
    </w:p>
    <w:p w:rsidR="000E12D8" w:rsidRDefault="000E12D8" w:rsidP="00685DDD">
      <w:pPr>
        <w:tabs>
          <w:tab w:val="left" w:pos="10980"/>
        </w:tabs>
        <w:spacing w:after="160" w:line="240" w:lineRule="auto"/>
        <w:contextualSpacing/>
        <w:rPr>
          <w:rFonts w:ascii="Times New Roman" w:hAnsi="Times New Roman" w:cs="Times New Roman"/>
          <w:b/>
          <w:sz w:val="24"/>
          <w:szCs w:val="24"/>
          <w:u w:val="single"/>
        </w:rPr>
      </w:pPr>
    </w:p>
    <w:p w:rsidR="007C44E8" w:rsidRPr="006C277C" w:rsidRDefault="00A00454" w:rsidP="007C44E8">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Resolution-Water and Wastewater Asset Inventory &amp; Assessment Grant</w:t>
      </w:r>
    </w:p>
    <w:p w:rsidR="007C44E8" w:rsidRPr="006C277C" w:rsidRDefault="00A00454" w:rsidP="007C44E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Inman informed Council that a resolution accepting the State Reserve Grant funds of $150,000 for Water and $150,000 for Wastewater inventory and assessment were needed. </w:t>
      </w:r>
    </w:p>
    <w:p w:rsidR="007C44E8" w:rsidRPr="006C277C" w:rsidRDefault="007C44E8" w:rsidP="007C44E8">
      <w:pPr>
        <w:spacing w:after="0"/>
        <w:contextualSpacing/>
        <w:jc w:val="both"/>
        <w:rPr>
          <w:rFonts w:ascii="Times New Roman" w:hAnsi="Times New Roman" w:cs="Times New Roman"/>
          <w:sz w:val="24"/>
          <w:szCs w:val="24"/>
        </w:rPr>
      </w:pPr>
    </w:p>
    <w:p w:rsidR="007C44E8" w:rsidRDefault="007C44E8" w:rsidP="00AA1F81">
      <w:pPr>
        <w:spacing w:after="0" w:line="240" w:lineRule="auto"/>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A00454">
        <w:rPr>
          <w:rFonts w:ascii="Times New Roman" w:hAnsi="Times New Roman" w:cs="Times New Roman"/>
          <w:sz w:val="24"/>
          <w:szCs w:val="24"/>
        </w:rPr>
        <w:t>Donnie Griffin</w:t>
      </w:r>
      <w:r w:rsidRPr="006C277C">
        <w:rPr>
          <w:rFonts w:ascii="Times New Roman" w:hAnsi="Times New Roman" w:cs="Times New Roman"/>
          <w:sz w:val="24"/>
          <w:szCs w:val="24"/>
        </w:rPr>
        <w:t xml:space="preserve"> and unanimous vote, the </w:t>
      </w:r>
      <w:r w:rsidR="00A00454">
        <w:rPr>
          <w:rFonts w:ascii="Times New Roman" w:hAnsi="Times New Roman" w:cs="Times New Roman"/>
          <w:sz w:val="24"/>
          <w:szCs w:val="24"/>
        </w:rPr>
        <w:t>water and wastewater resolution</w:t>
      </w:r>
      <w:r w:rsidR="00AA1F81">
        <w:rPr>
          <w:rFonts w:ascii="Times New Roman" w:hAnsi="Times New Roman" w:cs="Times New Roman"/>
          <w:sz w:val="24"/>
          <w:szCs w:val="24"/>
        </w:rPr>
        <w:t xml:space="preserve">s were adopted. A copy of the resolutions are available at City Hall for citizen review. </w:t>
      </w:r>
    </w:p>
    <w:p w:rsidR="00710E56" w:rsidRDefault="00710E56" w:rsidP="00685DDD">
      <w:pPr>
        <w:tabs>
          <w:tab w:val="left" w:pos="10980"/>
        </w:tabs>
        <w:spacing w:after="160" w:line="240" w:lineRule="auto"/>
        <w:contextualSpacing/>
        <w:rPr>
          <w:rFonts w:ascii="Times New Roman" w:hAnsi="Times New Roman" w:cs="Times New Roman"/>
          <w:b/>
          <w:sz w:val="24"/>
          <w:szCs w:val="24"/>
          <w:u w:val="single"/>
        </w:rPr>
      </w:pPr>
    </w:p>
    <w:p w:rsidR="007965C2" w:rsidRPr="006C277C" w:rsidRDefault="0052473A" w:rsidP="007965C2">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Resolution-Local Water Supply Plan</w:t>
      </w:r>
    </w:p>
    <w:p w:rsidR="007965C2" w:rsidRDefault="0052473A" w:rsidP="0052473A">
      <w:pPr>
        <w:spacing w:after="0"/>
        <w:contextualSpacing/>
        <w:jc w:val="both"/>
        <w:rPr>
          <w:rFonts w:ascii="Times New Roman" w:hAnsi="Times New Roman" w:cs="Times New Roman"/>
          <w:sz w:val="24"/>
          <w:szCs w:val="24"/>
        </w:rPr>
      </w:pPr>
      <w:r>
        <w:rPr>
          <w:rFonts w:ascii="Times New Roman" w:hAnsi="Times New Roman" w:cs="Times New Roman"/>
          <w:sz w:val="24"/>
          <w:szCs w:val="24"/>
        </w:rPr>
        <w:t>City Staff is seeking the approval of the 2018 Annual Local Water Supply plan. This plan is needed to conform with new Division of Water Resources requirements.</w:t>
      </w:r>
    </w:p>
    <w:p w:rsidR="0052473A" w:rsidRPr="006C277C" w:rsidRDefault="0052473A" w:rsidP="0052473A">
      <w:pPr>
        <w:spacing w:after="0"/>
        <w:contextualSpacing/>
        <w:jc w:val="both"/>
        <w:rPr>
          <w:rFonts w:ascii="Times New Roman" w:hAnsi="Times New Roman" w:cs="Times New Roman"/>
          <w:sz w:val="24"/>
          <w:szCs w:val="24"/>
        </w:rPr>
      </w:pPr>
    </w:p>
    <w:p w:rsidR="007965C2" w:rsidRDefault="007965C2" w:rsidP="007965C2">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52473A">
        <w:rPr>
          <w:rFonts w:ascii="Times New Roman" w:hAnsi="Times New Roman" w:cs="Times New Roman"/>
          <w:sz w:val="24"/>
          <w:szCs w:val="24"/>
        </w:rPr>
        <w:t>Alfred Carpenter</w:t>
      </w:r>
      <w:r w:rsidRPr="006C277C">
        <w:rPr>
          <w:rFonts w:ascii="Times New Roman" w:hAnsi="Times New Roman" w:cs="Times New Roman"/>
          <w:sz w:val="24"/>
          <w:szCs w:val="24"/>
        </w:rPr>
        <w:t xml:space="preserve"> and unanimous vote, </w:t>
      </w:r>
      <w:r w:rsidR="00D6341D">
        <w:rPr>
          <w:rFonts w:ascii="Times New Roman" w:hAnsi="Times New Roman" w:cs="Times New Roman"/>
          <w:sz w:val="24"/>
          <w:szCs w:val="24"/>
        </w:rPr>
        <w:t xml:space="preserve">the </w:t>
      </w:r>
      <w:r w:rsidR="0052473A">
        <w:rPr>
          <w:rFonts w:ascii="Times New Roman" w:hAnsi="Times New Roman" w:cs="Times New Roman"/>
          <w:sz w:val="24"/>
          <w:szCs w:val="24"/>
        </w:rPr>
        <w:t xml:space="preserve">2018 local water supply plan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w:t>
      </w:r>
      <w:r w:rsidR="00D6341D">
        <w:rPr>
          <w:rFonts w:ascii="Times New Roman" w:hAnsi="Times New Roman" w:cs="Times New Roman"/>
          <w:sz w:val="24"/>
          <w:szCs w:val="24"/>
        </w:rPr>
        <w:t>resolution</w:t>
      </w:r>
      <w:r>
        <w:rPr>
          <w:rFonts w:ascii="Times New Roman" w:hAnsi="Times New Roman" w:cs="Times New Roman"/>
          <w:sz w:val="24"/>
          <w:szCs w:val="24"/>
        </w:rPr>
        <w:t xml:space="preserve"> </w:t>
      </w:r>
      <w:r w:rsidRPr="006C277C">
        <w:rPr>
          <w:rFonts w:ascii="Times New Roman" w:hAnsi="Times New Roman" w:cs="Times New Roman"/>
          <w:sz w:val="24"/>
          <w:szCs w:val="24"/>
        </w:rPr>
        <w:t xml:space="preserve">is available at City Hall. </w:t>
      </w:r>
    </w:p>
    <w:p w:rsidR="007965C2" w:rsidRDefault="007965C2"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45094F" w:rsidRDefault="002A1488" w:rsidP="00F2687B">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Declare Property Surplus</w:t>
      </w:r>
      <w:r w:rsidR="00D6341D">
        <w:rPr>
          <w:rFonts w:ascii="Times New Roman" w:hAnsi="Times New Roman" w:cs="Times New Roman"/>
          <w:sz w:val="24"/>
          <w:u w:val="single"/>
        </w:rPr>
        <w:t xml:space="preserve"> </w:t>
      </w:r>
    </w:p>
    <w:p w:rsidR="002A1488" w:rsidRDefault="002A1488" w:rsidP="00F2687B">
      <w:pPr>
        <w:spacing w:line="240" w:lineRule="auto"/>
        <w:contextualSpacing/>
        <w:jc w:val="both"/>
        <w:rPr>
          <w:rFonts w:ascii="Times New Roman" w:hAnsi="Times New Roman" w:cs="Times New Roman"/>
          <w:sz w:val="24"/>
        </w:rPr>
      </w:pPr>
      <w:r>
        <w:rPr>
          <w:rFonts w:ascii="Times New Roman" w:hAnsi="Times New Roman" w:cs="Times New Roman"/>
          <w:sz w:val="24"/>
        </w:rPr>
        <w:t>City Manager Inman requests that the Admin City vehicle, 2014 Ford Explorer, be declared surplus.</w:t>
      </w:r>
    </w:p>
    <w:p w:rsidR="002A1488" w:rsidRDefault="002A1488" w:rsidP="00F2687B">
      <w:pPr>
        <w:spacing w:line="240" w:lineRule="auto"/>
        <w:contextualSpacing/>
        <w:jc w:val="both"/>
        <w:rPr>
          <w:rFonts w:ascii="Times New Roman" w:hAnsi="Times New Roman" w:cs="Times New Roman"/>
          <w:sz w:val="24"/>
        </w:rPr>
      </w:pPr>
    </w:p>
    <w:p w:rsidR="00D6341D" w:rsidRDefault="002A1488"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Kay McCathen and unanimous vote, the 2014 administration vehicle has been declared surplus.  </w:t>
      </w:r>
    </w:p>
    <w:p w:rsidR="00140D0F" w:rsidRPr="00D6341D" w:rsidRDefault="00140D0F"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ouncil general discussion.</w:t>
      </w:r>
      <w:r w:rsidR="002A1488">
        <w:rPr>
          <w:rFonts w:ascii="Times New Roman" w:hAnsi="Times New Roman" w:cs="Times New Roman"/>
          <w:sz w:val="24"/>
          <w:szCs w:val="24"/>
        </w:rPr>
        <w:t xml:space="preserve"> Council member Dan Boling inquired about patchwork on Maine Avenue. Mr. Inman informed him that the City is required to patch all holes where sewer work has been completed.</w:t>
      </w:r>
      <w:r w:rsidR="00AA6500">
        <w:rPr>
          <w:rFonts w:ascii="Times New Roman" w:hAnsi="Times New Roman" w:cs="Times New Roman"/>
          <w:sz w:val="24"/>
          <w:szCs w:val="24"/>
        </w:rPr>
        <w:t xml:space="preserve"> </w:t>
      </w:r>
      <w:r w:rsidR="00F443DF">
        <w:rPr>
          <w:rFonts w:ascii="Times New Roman" w:hAnsi="Times New Roman" w:cs="Times New Roman"/>
          <w:sz w:val="24"/>
          <w:szCs w:val="24"/>
        </w:rPr>
        <w:t xml:space="preserve">Council member </w:t>
      </w:r>
      <w:r w:rsidR="001E1090">
        <w:rPr>
          <w:rFonts w:ascii="Times New Roman" w:hAnsi="Times New Roman" w:cs="Times New Roman"/>
          <w:sz w:val="24"/>
          <w:szCs w:val="24"/>
        </w:rPr>
        <w:t xml:space="preserve">Kay McCathen </w:t>
      </w:r>
      <w:r w:rsidR="002A1488">
        <w:rPr>
          <w:rFonts w:ascii="Times New Roman" w:hAnsi="Times New Roman" w:cs="Times New Roman"/>
          <w:sz w:val="24"/>
          <w:szCs w:val="24"/>
        </w:rPr>
        <w:t>commended the Police Department for lowering the number of four wheelers on the streets.</w:t>
      </w:r>
      <w:r w:rsidR="009A1227">
        <w:rPr>
          <w:rFonts w:ascii="Times New Roman" w:hAnsi="Times New Roman" w:cs="Times New Roman"/>
          <w:sz w:val="24"/>
          <w:szCs w:val="24"/>
        </w:rPr>
        <w:t xml:space="preserve"> Council member Alfred Carpenter inquired about a “must turn right” sign on the Bessemer City Highway road pass Costner school road. Mr. Inman informed Mr. Carpenter that he would look into requesting that one be placed there.</w:t>
      </w:r>
      <w:r w:rsidR="002A1488">
        <w:rPr>
          <w:rFonts w:ascii="Times New Roman" w:hAnsi="Times New Roman" w:cs="Times New Roman"/>
          <w:sz w:val="24"/>
          <w:szCs w:val="24"/>
        </w:rPr>
        <w:t xml:space="preserve"> </w:t>
      </w:r>
    </w:p>
    <w:p w:rsidR="00F64F85" w:rsidRDefault="00F64F85" w:rsidP="0011124F">
      <w:pPr>
        <w:tabs>
          <w:tab w:val="left" w:pos="10980"/>
          <w:tab w:val="left" w:pos="11070"/>
        </w:tabs>
        <w:spacing w:after="0"/>
        <w:ind w:right="-90"/>
        <w:contextualSpacing/>
        <w:rPr>
          <w:rFonts w:ascii="Times New Roman" w:hAnsi="Times New Roman" w:cs="Times New Roman"/>
          <w:b/>
          <w:sz w:val="24"/>
          <w:szCs w:val="24"/>
          <w:u w:val="single"/>
        </w:rPr>
      </w:pPr>
    </w:p>
    <w:p w:rsidR="009A1227" w:rsidRDefault="009A1227" w:rsidP="0011124F">
      <w:pPr>
        <w:tabs>
          <w:tab w:val="left" w:pos="10980"/>
          <w:tab w:val="left" w:pos="11070"/>
        </w:tabs>
        <w:spacing w:after="0"/>
        <w:ind w:right="-90"/>
        <w:contextualSpacing/>
        <w:rPr>
          <w:rFonts w:ascii="Times New Roman" w:hAnsi="Times New Roman" w:cs="Times New Roman"/>
          <w:b/>
          <w:sz w:val="24"/>
          <w:szCs w:val="24"/>
          <w:u w:val="single"/>
        </w:rPr>
      </w:pPr>
      <w:r>
        <w:rPr>
          <w:rFonts w:ascii="Times New Roman" w:hAnsi="Times New Roman" w:cs="Times New Roman"/>
          <w:b/>
          <w:sz w:val="24"/>
          <w:szCs w:val="24"/>
          <w:u w:val="single"/>
        </w:rPr>
        <w:t>Closed Session</w:t>
      </w:r>
    </w:p>
    <w:p w:rsidR="009A1227" w:rsidRDefault="008B4F5B" w:rsidP="0011124F">
      <w:pPr>
        <w:tabs>
          <w:tab w:val="left" w:pos="10980"/>
          <w:tab w:val="left" w:pos="11070"/>
        </w:tabs>
        <w:spacing w:after="0"/>
        <w:ind w:right="-90"/>
        <w:contextualSpacing/>
        <w:rPr>
          <w:rFonts w:ascii="Times New Roman" w:hAnsi="Times New Roman" w:cs="Times New Roman"/>
          <w:sz w:val="24"/>
          <w:szCs w:val="24"/>
        </w:rPr>
      </w:pPr>
      <w:r>
        <w:rPr>
          <w:rFonts w:ascii="Times New Roman" w:hAnsi="Times New Roman" w:cs="Times New Roman"/>
          <w:sz w:val="24"/>
          <w:szCs w:val="24"/>
        </w:rPr>
        <w:t xml:space="preserve">By motion of Dan Boling and unanimous vote, at 8:16PM Council went in to closed session to consult with City Attorney per NCGS 143-318.11 (3). </w:t>
      </w:r>
    </w:p>
    <w:p w:rsidR="008B4F5B" w:rsidRDefault="008B4F5B" w:rsidP="0011124F">
      <w:pPr>
        <w:tabs>
          <w:tab w:val="left" w:pos="10980"/>
          <w:tab w:val="left" w:pos="11070"/>
        </w:tabs>
        <w:spacing w:after="0"/>
        <w:ind w:right="-90"/>
        <w:contextualSpacing/>
        <w:rPr>
          <w:rFonts w:ascii="Times New Roman" w:hAnsi="Times New Roman" w:cs="Times New Roman"/>
          <w:sz w:val="24"/>
          <w:szCs w:val="24"/>
        </w:rPr>
      </w:pPr>
    </w:p>
    <w:p w:rsidR="008B4F5B" w:rsidRDefault="008B4F5B" w:rsidP="0011124F">
      <w:pPr>
        <w:tabs>
          <w:tab w:val="left" w:pos="10980"/>
          <w:tab w:val="left" w:pos="11070"/>
        </w:tabs>
        <w:spacing w:after="0"/>
        <w:ind w:right="-90"/>
        <w:contextualSpacing/>
        <w:rPr>
          <w:rFonts w:ascii="Times New Roman" w:hAnsi="Times New Roman" w:cs="Times New Roman"/>
          <w:sz w:val="24"/>
          <w:szCs w:val="24"/>
        </w:rPr>
      </w:pPr>
      <w:r>
        <w:rPr>
          <w:rFonts w:ascii="Times New Roman" w:hAnsi="Times New Roman" w:cs="Times New Roman"/>
          <w:sz w:val="24"/>
          <w:szCs w:val="24"/>
        </w:rPr>
        <w:t xml:space="preserve">By motion of Dan Boling and unanimous vote, at 8:29PM Council came out of closed session. No action was taken. </w:t>
      </w:r>
    </w:p>
    <w:p w:rsidR="008B4F5B" w:rsidRPr="009A1227" w:rsidRDefault="008B4F5B" w:rsidP="0011124F">
      <w:pPr>
        <w:tabs>
          <w:tab w:val="left" w:pos="10980"/>
          <w:tab w:val="left" w:pos="11070"/>
        </w:tabs>
        <w:spacing w:after="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8B4F5B">
        <w:rPr>
          <w:rFonts w:ascii="Times New Roman" w:hAnsi="Times New Roman" w:cs="Times New Roman"/>
          <w:sz w:val="24"/>
          <w:szCs w:val="24"/>
        </w:rPr>
        <w:t>ting was adjourned at 8:32</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8210AC" w:rsidRDefault="008210AC" w:rsidP="008210AC">
      <w:pPr>
        <w:pStyle w:val="Heading1"/>
        <w:spacing w:line="246" w:lineRule="exact"/>
        <w:ind w:left="3511"/>
      </w:pPr>
      <w:r>
        <w:t>2019-2020 Budget Ordinance</w:t>
      </w:r>
    </w:p>
    <w:p w:rsidR="008210AC" w:rsidRDefault="008210AC" w:rsidP="008210AC">
      <w:pPr>
        <w:pStyle w:val="BodyText"/>
        <w:spacing w:before="1"/>
        <w:rPr>
          <w:b/>
        </w:rPr>
      </w:pPr>
    </w:p>
    <w:p w:rsidR="008210AC" w:rsidRDefault="008210AC" w:rsidP="008210AC">
      <w:pPr>
        <w:pStyle w:val="BodyText"/>
        <w:ind w:left="160"/>
      </w:pPr>
      <w:r>
        <w:rPr>
          <w:b/>
        </w:rPr>
        <w:t xml:space="preserve">BE IT ORDAINED, </w:t>
      </w:r>
      <w:r>
        <w:t>by the City Council of the City of Bessemer City, North Carolina:</w:t>
      </w:r>
    </w:p>
    <w:p w:rsidR="008210AC" w:rsidRDefault="008210AC" w:rsidP="008210AC">
      <w:pPr>
        <w:pStyle w:val="BodyText"/>
      </w:pPr>
    </w:p>
    <w:p w:rsidR="008210AC" w:rsidRDefault="008210AC" w:rsidP="008210AC">
      <w:pPr>
        <w:pStyle w:val="BodyText"/>
        <w:ind w:left="160" w:right="244"/>
      </w:pPr>
      <w:r>
        <w:rPr>
          <w:u w:val="single"/>
        </w:rPr>
        <w:t>Section 1.</w:t>
      </w:r>
      <w:r>
        <w:t xml:space="preserve"> It is estimated that the following revenues will be available to the General Fund for the Fiscal Year beginning July 1, 2019 and ending June 30, 2020:</w:t>
      </w:r>
    </w:p>
    <w:p w:rsidR="008210AC" w:rsidRDefault="008210AC" w:rsidP="008210AC">
      <w:pPr>
        <w:pStyle w:val="BodyText"/>
        <w:rPr>
          <w:sz w:val="20"/>
        </w:rPr>
      </w:pPr>
    </w:p>
    <w:p w:rsidR="008210AC" w:rsidRDefault="008210AC" w:rsidP="008210AC">
      <w:pPr>
        <w:pStyle w:val="BodyText"/>
        <w:spacing w:before="8" w:after="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4494"/>
        <w:gridCol w:w="2978"/>
      </w:tblGrid>
      <w:tr w:rsidR="008210AC" w:rsidTr="008210AC">
        <w:trPr>
          <w:trHeight w:val="243"/>
        </w:trPr>
        <w:tc>
          <w:tcPr>
            <w:tcW w:w="4494" w:type="dxa"/>
          </w:tcPr>
          <w:p w:rsidR="008210AC" w:rsidRDefault="008210AC" w:rsidP="008210AC">
            <w:pPr>
              <w:pStyle w:val="TableParagraph"/>
              <w:spacing w:line="224" w:lineRule="exact"/>
              <w:ind w:left="50"/>
            </w:pPr>
            <w:r>
              <w:t>Ad Valorem Taxes</w:t>
            </w:r>
          </w:p>
        </w:tc>
        <w:tc>
          <w:tcPr>
            <w:tcW w:w="2978" w:type="dxa"/>
          </w:tcPr>
          <w:p w:rsidR="008210AC" w:rsidRDefault="008210AC" w:rsidP="008210AC">
            <w:pPr>
              <w:pStyle w:val="TableParagraph"/>
              <w:tabs>
                <w:tab w:val="left" w:pos="2036"/>
              </w:tabs>
              <w:spacing w:line="224" w:lineRule="exact"/>
              <w:ind w:left="1316"/>
            </w:pPr>
            <w:r>
              <w:t>$</w:t>
            </w:r>
            <w:r>
              <w:tab/>
              <w:t>1,630,000</w:t>
            </w:r>
          </w:p>
        </w:tc>
      </w:tr>
      <w:tr w:rsidR="008210AC" w:rsidTr="008210AC">
        <w:trPr>
          <w:trHeight w:val="267"/>
        </w:trPr>
        <w:tc>
          <w:tcPr>
            <w:tcW w:w="4494" w:type="dxa"/>
          </w:tcPr>
          <w:p w:rsidR="008210AC" w:rsidRDefault="008210AC" w:rsidP="008210AC">
            <w:pPr>
              <w:pStyle w:val="TableParagraph"/>
              <w:spacing w:line="247" w:lineRule="exact"/>
              <w:ind w:left="50"/>
            </w:pPr>
            <w:r>
              <w:t>Prior Year Taxes</w:t>
            </w:r>
          </w:p>
        </w:tc>
        <w:tc>
          <w:tcPr>
            <w:tcW w:w="2978" w:type="dxa"/>
          </w:tcPr>
          <w:p w:rsidR="008210AC" w:rsidRDefault="008210AC" w:rsidP="008210AC">
            <w:pPr>
              <w:pStyle w:val="TableParagraph"/>
              <w:spacing w:line="247" w:lineRule="exact"/>
              <w:ind w:right="326"/>
              <w:jc w:val="right"/>
            </w:pPr>
            <w:r>
              <w:t>15,000</w:t>
            </w:r>
          </w:p>
        </w:tc>
      </w:tr>
      <w:tr w:rsidR="008210AC" w:rsidTr="008210AC">
        <w:trPr>
          <w:trHeight w:val="268"/>
        </w:trPr>
        <w:tc>
          <w:tcPr>
            <w:tcW w:w="4494" w:type="dxa"/>
          </w:tcPr>
          <w:p w:rsidR="008210AC" w:rsidRDefault="008210AC" w:rsidP="008210AC">
            <w:pPr>
              <w:pStyle w:val="TableParagraph"/>
              <w:ind w:left="50"/>
            </w:pPr>
            <w:r>
              <w:t>Auto Tag Fee</w:t>
            </w:r>
          </w:p>
        </w:tc>
        <w:tc>
          <w:tcPr>
            <w:tcW w:w="2978" w:type="dxa"/>
          </w:tcPr>
          <w:p w:rsidR="008210AC" w:rsidRDefault="008210AC" w:rsidP="008210AC">
            <w:pPr>
              <w:pStyle w:val="TableParagraph"/>
              <w:ind w:right="213"/>
              <w:jc w:val="right"/>
            </w:pPr>
            <w:r>
              <w:t>180,000</w:t>
            </w:r>
          </w:p>
        </w:tc>
      </w:tr>
      <w:tr w:rsidR="008210AC" w:rsidTr="008210AC">
        <w:trPr>
          <w:trHeight w:val="268"/>
        </w:trPr>
        <w:tc>
          <w:tcPr>
            <w:tcW w:w="4494" w:type="dxa"/>
          </w:tcPr>
          <w:p w:rsidR="008210AC" w:rsidRDefault="008210AC" w:rsidP="008210AC">
            <w:pPr>
              <w:pStyle w:val="TableParagraph"/>
              <w:ind w:left="50"/>
            </w:pPr>
            <w:r>
              <w:t>Gross Rental Vehicle Tax</w:t>
            </w:r>
          </w:p>
        </w:tc>
        <w:tc>
          <w:tcPr>
            <w:tcW w:w="2978" w:type="dxa"/>
          </w:tcPr>
          <w:p w:rsidR="008210AC" w:rsidRDefault="008210AC" w:rsidP="008210AC">
            <w:pPr>
              <w:pStyle w:val="TableParagraph"/>
              <w:ind w:right="604"/>
              <w:jc w:val="right"/>
            </w:pPr>
            <w:r>
              <w:t>500</w:t>
            </w:r>
          </w:p>
        </w:tc>
      </w:tr>
      <w:tr w:rsidR="008210AC" w:rsidTr="008210AC">
        <w:trPr>
          <w:trHeight w:val="268"/>
        </w:trPr>
        <w:tc>
          <w:tcPr>
            <w:tcW w:w="4494" w:type="dxa"/>
          </w:tcPr>
          <w:p w:rsidR="008210AC" w:rsidRDefault="008210AC" w:rsidP="008210AC">
            <w:pPr>
              <w:pStyle w:val="TableParagraph"/>
              <w:ind w:left="50"/>
            </w:pPr>
            <w:r>
              <w:t>Penalties &amp; Interest</w:t>
            </w:r>
          </w:p>
        </w:tc>
        <w:tc>
          <w:tcPr>
            <w:tcW w:w="2978" w:type="dxa"/>
          </w:tcPr>
          <w:p w:rsidR="008210AC" w:rsidRDefault="008210AC" w:rsidP="008210AC">
            <w:pPr>
              <w:pStyle w:val="TableParagraph"/>
              <w:ind w:right="326"/>
              <w:jc w:val="right"/>
            </w:pPr>
            <w:r>
              <w:t>10,000</w:t>
            </w:r>
          </w:p>
        </w:tc>
      </w:tr>
      <w:tr w:rsidR="008210AC" w:rsidTr="008210AC">
        <w:trPr>
          <w:trHeight w:val="269"/>
        </w:trPr>
        <w:tc>
          <w:tcPr>
            <w:tcW w:w="4494" w:type="dxa"/>
          </w:tcPr>
          <w:p w:rsidR="008210AC" w:rsidRDefault="008210AC" w:rsidP="008210AC">
            <w:pPr>
              <w:pStyle w:val="TableParagraph"/>
              <w:ind w:left="50"/>
            </w:pPr>
            <w:r>
              <w:t>Sales Tax</w:t>
            </w:r>
          </w:p>
        </w:tc>
        <w:tc>
          <w:tcPr>
            <w:tcW w:w="2978" w:type="dxa"/>
          </w:tcPr>
          <w:p w:rsidR="008210AC" w:rsidRDefault="008210AC" w:rsidP="008210AC">
            <w:pPr>
              <w:pStyle w:val="TableParagraph"/>
              <w:ind w:right="213"/>
              <w:jc w:val="right"/>
            </w:pPr>
            <w:r>
              <w:t>612,000</w:t>
            </w:r>
          </w:p>
        </w:tc>
      </w:tr>
      <w:tr w:rsidR="008210AC" w:rsidTr="008210AC">
        <w:trPr>
          <w:trHeight w:val="269"/>
        </w:trPr>
        <w:tc>
          <w:tcPr>
            <w:tcW w:w="4494" w:type="dxa"/>
          </w:tcPr>
          <w:p w:rsidR="008210AC" w:rsidRDefault="008210AC" w:rsidP="008210AC">
            <w:pPr>
              <w:pStyle w:val="TableParagraph"/>
              <w:ind w:left="50"/>
            </w:pPr>
            <w:r>
              <w:t>State Board Assessed</w:t>
            </w:r>
          </w:p>
        </w:tc>
        <w:tc>
          <w:tcPr>
            <w:tcW w:w="2978" w:type="dxa"/>
          </w:tcPr>
          <w:p w:rsidR="008210AC" w:rsidRDefault="008210AC" w:rsidP="008210AC">
            <w:pPr>
              <w:pStyle w:val="TableParagraph"/>
              <w:ind w:right="326"/>
              <w:jc w:val="right"/>
            </w:pPr>
            <w:r>
              <w:t>42,000</w:t>
            </w:r>
          </w:p>
        </w:tc>
      </w:tr>
      <w:tr w:rsidR="008210AC" w:rsidTr="008210AC">
        <w:trPr>
          <w:trHeight w:val="268"/>
        </w:trPr>
        <w:tc>
          <w:tcPr>
            <w:tcW w:w="4494" w:type="dxa"/>
          </w:tcPr>
          <w:p w:rsidR="008210AC" w:rsidRDefault="008210AC" w:rsidP="008210AC">
            <w:pPr>
              <w:pStyle w:val="TableParagraph"/>
              <w:ind w:left="50"/>
            </w:pPr>
            <w:r>
              <w:t>Solid Waste Disposal Tax</w:t>
            </w:r>
          </w:p>
        </w:tc>
        <w:tc>
          <w:tcPr>
            <w:tcW w:w="2978" w:type="dxa"/>
          </w:tcPr>
          <w:p w:rsidR="008210AC" w:rsidRDefault="008210AC" w:rsidP="008210AC">
            <w:pPr>
              <w:pStyle w:val="TableParagraph"/>
              <w:ind w:right="436"/>
              <w:jc w:val="right"/>
            </w:pPr>
            <w:r>
              <w:t>3,500</w:t>
            </w:r>
          </w:p>
        </w:tc>
      </w:tr>
      <w:tr w:rsidR="008210AC" w:rsidTr="008210AC">
        <w:trPr>
          <w:trHeight w:val="268"/>
        </w:trPr>
        <w:tc>
          <w:tcPr>
            <w:tcW w:w="4494" w:type="dxa"/>
          </w:tcPr>
          <w:p w:rsidR="008210AC" w:rsidRDefault="008210AC" w:rsidP="008210AC">
            <w:pPr>
              <w:pStyle w:val="TableParagraph"/>
              <w:ind w:left="50"/>
            </w:pPr>
            <w:r>
              <w:t>Beer &amp; Wine Tax</w:t>
            </w:r>
          </w:p>
        </w:tc>
        <w:tc>
          <w:tcPr>
            <w:tcW w:w="2978" w:type="dxa"/>
          </w:tcPr>
          <w:p w:rsidR="008210AC" w:rsidRDefault="008210AC" w:rsidP="008210AC">
            <w:pPr>
              <w:pStyle w:val="TableParagraph"/>
              <w:ind w:right="326"/>
              <w:jc w:val="right"/>
            </w:pPr>
            <w:r>
              <w:t>23,000</w:t>
            </w:r>
          </w:p>
        </w:tc>
      </w:tr>
      <w:tr w:rsidR="008210AC" w:rsidTr="008210AC">
        <w:trPr>
          <w:trHeight w:val="268"/>
        </w:trPr>
        <w:tc>
          <w:tcPr>
            <w:tcW w:w="4494" w:type="dxa"/>
          </w:tcPr>
          <w:p w:rsidR="008210AC" w:rsidRDefault="008210AC" w:rsidP="008210AC">
            <w:pPr>
              <w:pStyle w:val="TableParagraph"/>
              <w:ind w:left="50"/>
            </w:pPr>
            <w:r>
              <w:t>Franchise Tax</w:t>
            </w:r>
          </w:p>
        </w:tc>
        <w:tc>
          <w:tcPr>
            <w:tcW w:w="2978" w:type="dxa"/>
          </w:tcPr>
          <w:p w:rsidR="008210AC" w:rsidRDefault="008210AC" w:rsidP="008210AC">
            <w:pPr>
              <w:pStyle w:val="TableParagraph"/>
              <w:ind w:right="213"/>
              <w:jc w:val="right"/>
            </w:pPr>
            <w:r>
              <w:t>450,000</w:t>
            </w:r>
          </w:p>
        </w:tc>
      </w:tr>
      <w:tr w:rsidR="008210AC" w:rsidTr="008210AC">
        <w:trPr>
          <w:trHeight w:val="267"/>
        </w:trPr>
        <w:tc>
          <w:tcPr>
            <w:tcW w:w="4494" w:type="dxa"/>
          </w:tcPr>
          <w:p w:rsidR="008210AC" w:rsidRDefault="008210AC" w:rsidP="008210AC">
            <w:pPr>
              <w:pStyle w:val="TableParagraph"/>
              <w:spacing w:line="248" w:lineRule="exact"/>
              <w:ind w:left="50"/>
            </w:pPr>
            <w:r>
              <w:t>PD Fees for Services</w:t>
            </w:r>
          </w:p>
        </w:tc>
        <w:tc>
          <w:tcPr>
            <w:tcW w:w="2978" w:type="dxa"/>
          </w:tcPr>
          <w:p w:rsidR="008210AC" w:rsidRDefault="008210AC" w:rsidP="008210AC">
            <w:pPr>
              <w:pStyle w:val="TableParagraph"/>
              <w:spacing w:line="248" w:lineRule="exact"/>
              <w:ind w:right="604"/>
              <w:jc w:val="right"/>
            </w:pPr>
            <w:r>
              <w:t>500</w:t>
            </w:r>
          </w:p>
        </w:tc>
      </w:tr>
      <w:tr w:rsidR="008210AC" w:rsidTr="008210AC">
        <w:trPr>
          <w:trHeight w:val="267"/>
        </w:trPr>
        <w:tc>
          <w:tcPr>
            <w:tcW w:w="4494" w:type="dxa"/>
          </w:tcPr>
          <w:p w:rsidR="008210AC" w:rsidRDefault="008210AC" w:rsidP="008210AC">
            <w:pPr>
              <w:pStyle w:val="TableParagraph"/>
              <w:spacing w:line="247" w:lineRule="exact"/>
              <w:ind w:left="50"/>
            </w:pPr>
            <w:r>
              <w:t>Confiscated Drug Money</w:t>
            </w:r>
          </w:p>
        </w:tc>
        <w:tc>
          <w:tcPr>
            <w:tcW w:w="2978" w:type="dxa"/>
          </w:tcPr>
          <w:p w:rsidR="008210AC" w:rsidRDefault="008210AC" w:rsidP="008210AC">
            <w:pPr>
              <w:pStyle w:val="TableParagraph"/>
              <w:spacing w:line="247" w:lineRule="exact"/>
              <w:ind w:right="604"/>
              <w:jc w:val="right"/>
            </w:pPr>
            <w:r>
              <w:t>500</w:t>
            </w:r>
          </w:p>
        </w:tc>
      </w:tr>
      <w:tr w:rsidR="008210AC" w:rsidTr="008210AC">
        <w:trPr>
          <w:trHeight w:val="268"/>
        </w:trPr>
        <w:tc>
          <w:tcPr>
            <w:tcW w:w="4494" w:type="dxa"/>
          </w:tcPr>
          <w:p w:rsidR="008210AC" w:rsidRDefault="008210AC" w:rsidP="008210AC">
            <w:pPr>
              <w:pStyle w:val="TableParagraph"/>
              <w:ind w:left="50"/>
            </w:pPr>
            <w:r>
              <w:t>PD – Grants</w:t>
            </w:r>
          </w:p>
        </w:tc>
        <w:tc>
          <w:tcPr>
            <w:tcW w:w="2978" w:type="dxa"/>
          </w:tcPr>
          <w:p w:rsidR="008210AC" w:rsidRDefault="008210AC" w:rsidP="008210AC">
            <w:pPr>
              <w:pStyle w:val="TableParagraph"/>
              <w:ind w:right="213"/>
              <w:jc w:val="right"/>
            </w:pPr>
            <w:r>
              <w:t>110,000</w:t>
            </w:r>
          </w:p>
        </w:tc>
      </w:tr>
      <w:tr w:rsidR="008210AC" w:rsidTr="008210AC">
        <w:trPr>
          <w:trHeight w:val="268"/>
        </w:trPr>
        <w:tc>
          <w:tcPr>
            <w:tcW w:w="4494" w:type="dxa"/>
          </w:tcPr>
          <w:p w:rsidR="008210AC" w:rsidRDefault="008210AC" w:rsidP="008210AC">
            <w:pPr>
              <w:pStyle w:val="TableParagraph"/>
              <w:ind w:left="50"/>
            </w:pPr>
            <w:r>
              <w:t>Fire Department Grants</w:t>
            </w:r>
          </w:p>
        </w:tc>
        <w:tc>
          <w:tcPr>
            <w:tcW w:w="2978" w:type="dxa"/>
          </w:tcPr>
          <w:p w:rsidR="008210AC" w:rsidRDefault="008210AC" w:rsidP="008210AC">
            <w:pPr>
              <w:pStyle w:val="TableParagraph"/>
              <w:ind w:right="326"/>
              <w:jc w:val="right"/>
            </w:pPr>
            <w:r>
              <w:t>48,000</w:t>
            </w:r>
          </w:p>
        </w:tc>
      </w:tr>
      <w:tr w:rsidR="008210AC" w:rsidTr="008210AC">
        <w:trPr>
          <w:trHeight w:val="268"/>
        </w:trPr>
        <w:tc>
          <w:tcPr>
            <w:tcW w:w="4494" w:type="dxa"/>
          </w:tcPr>
          <w:p w:rsidR="008210AC" w:rsidRDefault="008210AC" w:rsidP="008210AC">
            <w:pPr>
              <w:pStyle w:val="TableParagraph"/>
              <w:ind w:left="50"/>
            </w:pPr>
            <w:r>
              <w:t>Rent- Land</w:t>
            </w:r>
          </w:p>
        </w:tc>
        <w:tc>
          <w:tcPr>
            <w:tcW w:w="2978" w:type="dxa"/>
          </w:tcPr>
          <w:p w:rsidR="008210AC" w:rsidRDefault="008210AC" w:rsidP="008210AC">
            <w:pPr>
              <w:pStyle w:val="TableParagraph"/>
              <w:ind w:right="436"/>
              <w:jc w:val="right"/>
            </w:pPr>
            <w:r>
              <w:t>1,100</w:t>
            </w:r>
          </w:p>
        </w:tc>
      </w:tr>
      <w:tr w:rsidR="008210AC" w:rsidTr="008210AC">
        <w:trPr>
          <w:trHeight w:val="268"/>
        </w:trPr>
        <w:tc>
          <w:tcPr>
            <w:tcW w:w="4494" w:type="dxa"/>
          </w:tcPr>
          <w:p w:rsidR="008210AC" w:rsidRDefault="008210AC" w:rsidP="008210AC">
            <w:pPr>
              <w:pStyle w:val="TableParagraph"/>
              <w:ind w:left="50"/>
            </w:pPr>
            <w:r>
              <w:t>Landfill Fees</w:t>
            </w:r>
          </w:p>
        </w:tc>
        <w:tc>
          <w:tcPr>
            <w:tcW w:w="2978" w:type="dxa"/>
          </w:tcPr>
          <w:p w:rsidR="008210AC" w:rsidRDefault="008210AC" w:rsidP="008210AC">
            <w:pPr>
              <w:pStyle w:val="TableParagraph"/>
              <w:ind w:right="213"/>
              <w:jc w:val="right"/>
            </w:pPr>
            <w:r>
              <w:t>310,367</w:t>
            </w:r>
          </w:p>
        </w:tc>
      </w:tr>
      <w:tr w:rsidR="008210AC" w:rsidTr="008210AC">
        <w:trPr>
          <w:trHeight w:val="268"/>
        </w:trPr>
        <w:tc>
          <w:tcPr>
            <w:tcW w:w="4494" w:type="dxa"/>
          </w:tcPr>
          <w:p w:rsidR="008210AC" w:rsidRDefault="008210AC" w:rsidP="008210AC">
            <w:pPr>
              <w:pStyle w:val="TableParagraph"/>
              <w:ind w:left="50"/>
            </w:pPr>
            <w:r>
              <w:t>Recycling Fees</w:t>
            </w:r>
          </w:p>
        </w:tc>
        <w:tc>
          <w:tcPr>
            <w:tcW w:w="2978" w:type="dxa"/>
          </w:tcPr>
          <w:p w:rsidR="008210AC" w:rsidRDefault="008210AC" w:rsidP="008210AC">
            <w:pPr>
              <w:pStyle w:val="TableParagraph"/>
              <w:ind w:right="326"/>
              <w:jc w:val="right"/>
            </w:pPr>
            <w:r>
              <w:t>92,000</w:t>
            </w:r>
          </w:p>
        </w:tc>
      </w:tr>
      <w:tr w:rsidR="008210AC" w:rsidTr="008210AC">
        <w:trPr>
          <w:trHeight w:val="269"/>
        </w:trPr>
        <w:tc>
          <w:tcPr>
            <w:tcW w:w="4494" w:type="dxa"/>
          </w:tcPr>
          <w:p w:rsidR="008210AC" w:rsidRDefault="008210AC" w:rsidP="008210AC">
            <w:pPr>
              <w:pStyle w:val="TableParagraph"/>
              <w:ind w:left="50"/>
            </w:pPr>
            <w:r>
              <w:t>Grave Opening/Closing</w:t>
            </w:r>
          </w:p>
        </w:tc>
        <w:tc>
          <w:tcPr>
            <w:tcW w:w="2978" w:type="dxa"/>
          </w:tcPr>
          <w:p w:rsidR="008210AC" w:rsidRDefault="008210AC" w:rsidP="008210AC">
            <w:pPr>
              <w:pStyle w:val="TableParagraph"/>
              <w:ind w:right="326"/>
              <w:jc w:val="right"/>
            </w:pPr>
            <w:r>
              <w:t>20,000</w:t>
            </w:r>
          </w:p>
        </w:tc>
      </w:tr>
      <w:tr w:rsidR="008210AC" w:rsidTr="008210AC">
        <w:trPr>
          <w:trHeight w:val="269"/>
        </w:trPr>
        <w:tc>
          <w:tcPr>
            <w:tcW w:w="4494" w:type="dxa"/>
          </w:tcPr>
          <w:p w:rsidR="008210AC" w:rsidRDefault="008210AC" w:rsidP="008210AC">
            <w:pPr>
              <w:pStyle w:val="TableParagraph"/>
              <w:ind w:left="50"/>
            </w:pPr>
            <w:r>
              <w:t>Cemetery Lot Sales</w:t>
            </w:r>
          </w:p>
        </w:tc>
        <w:tc>
          <w:tcPr>
            <w:tcW w:w="2978" w:type="dxa"/>
          </w:tcPr>
          <w:p w:rsidR="008210AC" w:rsidRDefault="008210AC" w:rsidP="008210AC">
            <w:pPr>
              <w:pStyle w:val="TableParagraph"/>
              <w:ind w:right="436"/>
              <w:jc w:val="right"/>
            </w:pPr>
            <w:r>
              <w:t>1,000</w:t>
            </w:r>
          </w:p>
        </w:tc>
      </w:tr>
      <w:tr w:rsidR="008210AC" w:rsidTr="008210AC">
        <w:trPr>
          <w:trHeight w:val="268"/>
        </w:trPr>
        <w:tc>
          <w:tcPr>
            <w:tcW w:w="4494" w:type="dxa"/>
          </w:tcPr>
          <w:p w:rsidR="008210AC" w:rsidRDefault="008210AC" w:rsidP="008210AC">
            <w:pPr>
              <w:pStyle w:val="TableParagraph"/>
              <w:ind w:left="50"/>
            </w:pPr>
            <w:r>
              <w:t>Costner Building Grant</w:t>
            </w:r>
          </w:p>
        </w:tc>
        <w:tc>
          <w:tcPr>
            <w:tcW w:w="2978" w:type="dxa"/>
          </w:tcPr>
          <w:p w:rsidR="008210AC" w:rsidRDefault="008210AC" w:rsidP="008210AC">
            <w:pPr>
              <w:pStyle w:val="TableParagraph"/>
              <w:ind w:right="326"/>
              <w:jc w:val="right"/>
            </w:pPr>
            <w:r>
              <w:t>50,000</w:t>
            </w:r>
          </w:p>
        </w:tc>
      </w:tr>
      <w:tr w:rsidR="008210AC" w:rsidTr="008210AC">
        <w:trPr>
          <w:trHeight w:val="267"/>
        </w:trPr>
        <w:tc>
          <w:tcPr>
            <w:tcW w:w="4494" w:type="dxa"/>
          </w:tcPr>
          <w:p w:rsidR="008210AC" w:rsidRDefault="008210AC" w:rsidP="008210AC">
            <w:pPr>
              <w:pStyle w:val="TableParagraph"/>
              <w:spacing w:line="248" w:lineRule="exact"/>
              <w:ind w:left="50"/>
            </w:pPr>
            <w:r>
              <w:t>Grant - Kiser Center</w:t>
            </w:r>
          </w:p>
        </w:tc>
        <w:tc>
          <w:tcPr>
            <w:tcW w:w="2978" w:type="dxa"/>
          </w:tcPr>
          <w:p w:rsidR="008210AC" w:rsidRDefault="008210AC" w:rsidP="008210AC">
            <w:pPr>
              <w:pStyle w:val="TableParagraph"/>
              <w:spacing w:line="248" w:lineRule="exact"/>
              <w:ind w:right="436"/>
              <w:jc w:val="right"/>
            </w:pPr>
            <w:r>
              <w:t>5,000</w:t>
            </w:r>
          </w:p>
        </w:tc>
      </w:tr>
      <w:tr w:rsidR="008210AC" w:rsidTr="008210AC">
        <w:trPr>
          <w:trHeight w:val="267"/>
        </w:trPr>
        <w:tc>
          <w:tcPr>
            <w:tcW w:w="4494" w:type="dxa"/>
          </w:tcPr>
          <w:p w:rsidR="008210AC" w:rsidRDefault="008210AC" w:rsidP="008210AC">
            <w:pPr>
              <w:pStyle w:val="TableParagraph"/>
              <w:spacing w:line="247" w:lineRule="exact"/>
              <w:ind w:left="50"/>
            </w:pPr>
            <w:r>
              <w:t>ABC Revenue</w:t>
            </w:r>
          </w:p>
        </w:tc>
        <w:tc>
          <w:tcPr>
            <w:tcW w:w="2978" w:type="dxa"/>
          </w:tcPr>
          <w:p w:rsidR="008210AC" w:rsidRDefault="008210AC" w:rsidP="008210AC">
            <w:pPr>
              <w:pStyle w:val="TableParagraph"/>
              <w:spacing w:line="247" w:lineRule="exact"/>
              <w:ind w:right="436"/>
              <w:jc w:val="right"/>
            </w:pPr>
            <w:r>
              <w:t>5,000</w:t>
            </w:r>
          </w:p>
        </w:tc>
      </w:tr>
      <w:tr w:rsidR="008210AC" w:rsidTr="008210AC">
        <w:trPr>
          <w:trHeight w:val="268"/>
        </w:trPr>
        <w:tc>
          <w:tcPr>
            <w:tcW w:w="4494" w:type="dxa"/>
          </w:tcPr>
          <w:p w:rsidR="008210AC" w:rsidRDefault="008210AC" w:rsidP="008210AC">
            <w:pPr>
              <w:pStyle w:val="TableParagraph"/>
              <w:ind w:left="50"/>
            </w:pPr>
            <w:r>
              <w:t>Senior Events</w:t>
            </w:r>
          </w:p>
        </w:tc>
        <w:tc>
          <w:tcPr>
            <w:tcW w:w="2978" w:type="dxa"/>
          </w:tcPr>
          <w:p w:rsidR="008210AC" w:rsidRDefault="008210AC" w:rsidP="008210AC">
            <w:pPr>
              <w:pStyle w:val="TableParagraph"/>
              <w:ind w:right="436"/>
              <w:jc w:val="right"/>
            </w:pPr>
            <w:r>
              <w:t>8,000</w:t>
            </w:r>
          </w:p>
        </w:tc>
      </w:tr>
      <w:tr w:rsidR="008210AC" w:rsidTr="008210AC">
        <w:trPr>
          <w:trHeight w:val="268"/>
        </w:trPr>
        <w:tc>
          <w:tcPr>
            <w:tcW w:w="4494" w:type="dxa"/>
          </w:tcPr>
          <w:p w:rsidR="008210AC" w:rsidRDefault="008210AC" w:rsidP="008210AC">
            <w:pPr>
              <w:pStyle w:val="TableParagraph"/>
              <w:ind w:left="50"/>
            </w:pPr>
            <w:r>
              <w:t>Investment Earnings</w:t>
            </w:r>
          </w:p>
        </w:tc>
        <w:tc>
          <w:tcPr>
            <w:tcW w:w="2978" w:type="dxa"/>
          </w:tcPr>
          <w:p w:rsidR="008210AC" w:rsidRDefault="008210AC" w:rsidP="008210AC">
            <w:pPr>
              <w:pStyle w:val="TableParagraph"/>
              <w:ind w:right="326"/>
              <w:jc w:val="right"/>
            </w:pPr>
            <w:r>
              <w:t>40,000</w:t>
            </w:r>
          </w:p>
        </w:tc>
      </w:tr>
      <w:tr w:rsidR="008210AC" w:rsidTr="008210AC">
        <w:trPr>
          <w:trHeight w:val="268"/>
        </w:trPr>
        <w:tc>
          <w:tcPr>
            <w:tcW w:w="4494" w:type="dxa"/>
          </w:tcPr>
          <w:p w:rsidR="008210AC" w:rsidRDefault="008210AC" w:rsidP="008210AC">
            <w:pPr>
              <w:pStyle w:val="TableParagraph"/>
              <w:ind w:left="50"/>
            </w:pPr>
            <w:r>
              <w:t>Down Home Festival</w:t>
            </w:r>
          </w:p>
        </w:tc>
        <w:tc>
          <w:tcPr>
            <w:tcW w:w="2978" w:type="dxa"/>
          </w:tcPr>
          <w:p w:rsidR="008210AC" w:rsidRDefault="008210AC" w:rsidP="008210AC">
            <w:pPr>
              <w:pStyle w:val="TableParagraph"/>
              <w:ind w:right="326"/>
              <w:jc w:val="right"/>
            </w:pPr>
            <w:r>
              <w:t>50,000</w:t>
            </w:r>
          </w:p>
        </w:tc>
      </w:tr>
      <w:tr w:rsidR="008210AC" w:rsidTr="008210AC">
        <w:trPr>
          <w:trHeight w:val="268"/>
        </w:trPr>
        <w:tc>
          <w:tcPr>
            <w:tcW w:w="4494" w:type="dxa"/>
          </w:tcPr>
          <w:p w:rsidR="008210AC" w:rsidRDefault="008210AC" w:rsidP="008210AC">
            <w:pPr>
              <w:pStyle w:val="TableParagraph"/>
              <w:ind w:left="50"/>
            </w:pPr>
            <w:r>
              <w:t>Parks &amp; Recreation Fees</w:t>
            </w:r>
          </w:p>
        </w:tc>
        <w:tc>
          <w:tcPr>
            <w:tcW w:w="2978" w:type="dxa"/>
          </w:tcPr>
          <w:p w:rsidR="008210AC" w:rsidRDefault="008210AC" w:rsidP="008210AC">
            <w:pPr>
              <w:pStyle w:val="TableParagraph"/>
              <w:ind w:right="326"/>
              <w:jc w:val="right"/>
            </w:pPr>
            <w:r>
              <w:t>14,000</w:t>
            </w:r>
          </w:p>
        </w:tc>
      </w:tr>
      <w:tr w:rsidR="008210AC" w:rsidTr="008210AC">
        <w:trPr>
          <w:trHeight w:val="268"/>
        </w:trPr>
        <w:tc>
          <w:tcPr>
            <w:tcW w:w="4494" w:type="dxa"/>
          </w:tcPr>
          <w:p w:rsidR="008210AC" w:rsidRDefault="008210AC" w:rsidP="008210AC">
            <w:pPr>
              <w:pStyle w:val="TableParagraph"/>
              <w:ind w:left="50"/>
            </w:pPr>
            <w:r>
              <w:t>Swimming Pool Fees</w:t>
            </w:r>
          </w:p>
        </w:tc>
        <w:tc>
          <w:tcPr>
            <w:tcW w:w="2978" w:type="dxa"/>
          </w:tcPr>
          <w:p w:rsidR="008210AC" w:rsidRDefault="008210AC" w:rsidP="008210AC">
            <w:pPr>
              <w:pStyle w:val="TableParagraph"/>
              <w:ind w:right="326"/>
              <w:jc w:val="right"/>
            </w:pPr>
            <w:r>
              <w:t>84,000</w:t>
            </w:r>
          </w:p>
        </w:tc>
      </w:tr>
      <w:tr w:rsidR="008210AC" w:rsidTr="008210AC">
        <w:trPr>
          <w:trHeight w:val="268"/>
        </w:trPr>
        <w:tc>
          <w:tcPr>
            <w:tcW w:w="4494" w:type="dxa"/>
          </w:tcPr>
          <w:p w:rsidR="008210AC" w:rsidRDefault="008210AC" w:rsidP="008210AC">
            <w:pPr>
              <w:pStyle w:val="TableParagraph"/>
              <w:ind w:left="50"/>
            </w:pPr>
            <w:r>
              <w:t>Zoning Permits &amp; Fees</w:t>
            </w:r>
          </w:p>
        </w:tc>
        <w:tc>
          <w:tcPr>
            <w:tcW w:w="2978" w:type="dxa"/>
          </w:tcPr>
          <w:p w:rsidR="008210AC" w:rsidRDefault="008210AC" w:rsidP="008210AC">
            <w:pPr>
              <w:pStyle w:val="TableParagraph"/>
              <w:ind w:right="436"/>
              <w:jc w:val="right"/>
            </w:pPr>
            <w:r>
              <w:t>5,000</w:t>
            </w:r>
          </w:p>
        </w:tc>
      </w:tr>
      <w:tr w:rsidR="008210AC" w:rsidTr="008210AC">
        <w:trPr>
          <w:trHeight w:val="244"/>
        </w:trPr>
        <w:tc>
          <w:tcPr>
            <w:tcW w:w="4494" w:type="dxa"/>
          </w:tcPr>
          <w:p w:rsidR="008210AC" w:rsidRDefault="008210AC" w:rsidP="008210AC">
            <w:pPr>
              <w:pStyle w:val="TableParagraph"/>
              <w:spacing w:line="225" w:lineRule="exact"/>
              <w:ind w:left="50"/>
            </w:pPr>
            <w:r>
              <w:t>Code Enforcement &amp; Civil Citations</w:t>
            </w:r>
          </w:p>
        </w:tc>
        <w:tc>
          <w:tcPr>
            <w:tcW w:w="2978" w:type="dxa"/>
          </w:tcPr>
          <w:p w:rsidR="008210AC" w:rsidRDefault="008210AC" w:rsidP="008210AC">
            <w:pPr>
              <w:pStyle w:val="TableParagraph"/>
              <w:spacing w:line="225" w:lineRule="exact"/>
              <w:ind w:right="604"/>
              <w:jc w:val="right"/>
            </w:pPr>
            <w:r>
              <w:t>500</w:t>
            </w:r>
          </w:p>
        </w:tc>
      </w:tr>
    </w:tbl>
    <w:p w:rsidR="008210AC" w:rsidRDefault="008210AC" w:rsidP="008210AC">
      <w:pPr>
        <w:spacing w:line="225" w:lineRule="exact"/>
        <w:jc w:val="right"/>
        <w:sectPr w:rsidR="008210AC" w:rsidSect="008210AC">
          <w:pgSz w:w="12240" w:h="15840"/>
          <w:pgMar w:top="1440" w:right="1320" w:bottom="280" w:left="1280" w:header="720" w:footer="720" w:gutter="0"/>
          <w:cols w:space="720"/>
        </w:sectPr>
      </w:pPr>
    </w:p>
    <w:tbl>
      <w:tblPr>
        <w:tblW w:w="0" w:type="auto"/>
        <w:tblInd w:w="167" w:type="dxa"/>
        <w:tblLayout w:type="fixed"/>
        <w:tblCellMar>
          <w:left w:w="0" w:type="dxa"/>
          <w:right w:w="0" w:type="dxa"/>
        </w:tblCellMar>
        <w:tblLook w:val="01E0" w:firstRow="1" w:lastRow="1" w:firstColumn="1" w:lastColumn="1" w:noHBand="0" w:noVBand="0"/>
      </w:tblPr>
      <w:tblGrid>
        <w:gridCol w:w="4754"/>
        <w:gridCol w:w="4551"/>
      </w:tblGrid>
      <w:tr w:rsidR="008210AC" w:rsidTr="008210AC">
        <w:trPr>
          <w:trHeight w:val="244"/>
        </w:trPr>
        <w:tc>
          <w:tcPr>
            <w:tcW w:w="4754" w:type="dxa"/>
          </w:tcPr>
          <w:p w:rsidR="008210AC" w:rsidRDefault="008210AC" w:rsidP="008210AC">
            <w:pPr>
              <w:pStyle w:val="TableParagraph"/>
              <w:spacing w:line="225" w:lineRule="exact"/>
            </w:pPr>
            <w:r>
              <w:lastRenderedPageBreak/>
              <w:t>Insurance Proceeds</w:t>
            </w:r>
          </w:p>
        </w:tc>
        <w:tc>
          <w:tcPr>
            <w:tcW w:w="4551" w:type="dxa"/>
          </w:tcPr>
          <w:p w:rsidR="008210AC" w:rsidRDefault="008210AC" w:rsidP="008210AC">
            <w:pPr>
              <w:pStyle w:val="TableParagraph"/>
              <w:spacing w:line="225" w:lineRule="exact"/>
              <w:ind w:left="1486" w:right="2078"/>
              <w:jc w:val="center"/>
            </w:pPr>
            <w:r>
              <w:t>2,500</w:t>
            </w:r>
          </w:p>
        </w:tc>
      </w:tr>
      <w:tr w:rsidR="008210AC" w:rsidTr="008210AC">
        <w:trPr>
          <w:trHeight w:val="268"/>
        </w:trPr>
        <w:tc>
          <w:tcPr>
            <w:tcW w:w="4754" w:type="dxa"/>
          </w:tcPr>
          <w:p w:rsidR="008210AC" w:rsidRDefault="008210AC" w:rsidP="008210AC">
            <w:pPr>
              <w:pStyle w:val="TableParagraph"/>
            </w:pPr>
            <w:r>
              <w:t>Transfer From Cemetery Fund</w:t>
            </w:r>
          </w:p>
        </w:tc>
        <w:tc>
          <w:tcPr>
            <w:tcW w:w="4551" w:type="dxa"/>
          </w:tcPr>
          <w:p w:rsidR="008210AC" w:rsidRDefault="008210AC" w:rsidP="008210AC">
            <w:pPr>
              <w:pStyle w:val="TableParagraph"/>
              <w:ind w:left="1596" w:right="2078"/>
              <w:jc w:val="center"/>
            </w:pPr>
            <w:r>
              <w:t>24,000</w:t>
            </w:r>
          </w:p>
        </w:tc>
      </w:tr>
      <w:tr w:rsidR="008210AC" w:rsidTr="008210AC">
        <w:trPr>
          <w:trHeight w:val="268"/>
        </w:trPr>
        <w:tc>
          <w:tcPr>
            <w:tcW w:w="4754" w:type="dxa"/>
          </w:tcPr>
          <w:p w:rsidR="008210AC" w:rsidRDefault="008210AC" w:rsidP="008210AC">
            <w:pPr>
              <w:pStyle w:val="TableParagraph"/>
            </w:pPr>
            <w:r>
              <w:t>Miscellaneous Revenues</w:t>
            </w:r>
          </w:p>
        </w:tc>
        <w:tc>
          <w:tcPr>
            <w:tcW w:w="4551" w:type="dxa"/>
          </w:tcPr>
          <w:p w:rsidR="008210AC" w:rsidRDefault="008210AC" w:rsidP="008210AC">
            <w:pPr>
              <w:pStyle w:val="TableParagraph"/>
              <w:ind w:left="1708" w:right="2077"/>
              <w:jc w:val="center"/>
            </w:pPr>
            <w:r>
              <w:t>100,000</w:t>
            </w:r>
          </w:p>
        </w:tc>
      </w:tr>
      <w:tr w:rsidR="008210AC" w:rsidTr="008210AC">
        <w:trPr>
          <w:trHeight w:val="267"/>
        </w:trPr>
        <w:tc>
          <w:tcPr>
            <w:tcW w:w="4754" w:type="dxa"/>
          </w:tcPr>
          <w:p w:rsidR="008210AC" w:rsidRDefault="008210AC" w:rsidP="008210AC">
            <w:pPr>
              <w:pStyle w:val="TableParagraph"/>
              <w:spacing w:line="248" w:lineRule="exact"/>
            </w:pPr>
            <w:r>
              <w:t>Fund Balance Appropriated</w:t>
            </w:r>
          </w:p>
        </w:tc>
        <w:tc>
          <w:tcPr>
            <w:tcW w:w="4551" w:type="dxa"/>
          </w:tcPr>
          <w:p w:rsidR="008210AC" w:rsidRDefault="008210AC" w:rsidP="008210AC">
            <w:pPr>
              <w:pStyle w:val="TableParagraph"/>
              <w:spacing w:line="248" w:lineRule="exact"/>
              <w:ind w:left="1596" w:right="2078"/>
              <w:jc w:val="center"/>
            </w:pPr>
            <w:r>
              <w:t>39,337</w:t>
            </w:r>
          </w:p>
        </w:tc>
      </w:tr>
      <w:tr w:rsidR="008210AC" w:rsidTr="008210AC">
        <w:trPr>
          <w:trHeight w:val="267"/>
        </w:trPr>
        <w:tc>
          <w:tcPr>
            <w:tcW w:w="4754" w:type="dxa"/>
          </w:tcPr>
          <w:p w:rsidR="008210AC" w:rsidRDefault="008210AC" w:rsidP="008210AC">
            <w:pPr>
              <w:pStyle w:val="TableParagraph"/>
              <w:spacing w:line="247" w:lineRule="exact"/>
            </w:pPr>
            <w:r>
              <w:t>Administrative Charges - Enterprise Funds</w:t>
            </w:r>
          </w:p>
        </w:tc>
        <w:tc>
          <w:tcPr>
            <w:tcW w:w="4551" w:type="dxa"/>
          </w:tcPr>
          <w:p w:rsidR="008210AC" w:rsidRDefault="008210AC" w:rsidP="008210AC">
            <w:pPr>
              <w:pStyle w:val="TableParagraph"/>
              <w:spacing w:line="247" w:lineRule="exact"/>
              <w:ind w:left="1708" w:right="2077"/>
              <w:jc w:val="center"/>
            </w:pPr>
            <w:r>
              <w:t>800,000</w:t>
            </w:r>
          </w:p>
        </w:tc>
      </w:tr>
      <w:tr w:rsidR="008210AC" w:rsidTr="008210AC">
        <w:trPr>
          <w:trHeight w:val="483"/>
        </w:trPr>
        <w:tc>
          <w:tcPr>
            <w:tcW w:w="4754" w:type="dxa"/>
            <w:tcBorders>
              <w:bottom w:val="single" w:sz="6" w:space="0" w:color="000000"/>
            </w:tcBorders>
          </w:tcPr>
          <w:p w:rsidR="008210AC" w:rsidRDefault="008210AC" w:rsidP="008210AC">
            <w:pPr>
              <w:pStyle w:val="TableParagraph"/>
            </w:pPr>
            <w:r>
              <w:t>Sale of Property</w:t>
            </w:r>
          </w:p>
        </w:tc>
        <w:tc>
          <w:tcPr>
            <w:tcW w:w="4551" w:type="dxa"/>
            <w:tcBorders>
              <w:bottom w:val="single" w:sz="6" w:space="0" w:color="000000"/>
            </w:tcBorders>
          </w:tcPr>
          <w:p w:rsidR="008210AC" w:rsidRDefault="008210AC" w:rsidP="008210AC">
            <w:pPr>
              <w:pStyle w:val="TableParagraph"/>
              <w:ind w:left="1486" w:right="2078"/>
              <w:jc w:val="center"/>
            </w:pPr>
            <w:r>
              <w:t>5,000</w:t>
            </w:r>
          </w:p>
        </w:tc>
      </w:tr>
      <w:tr w:rsidR="008210AC" w:rsidTr="008210AC">
        <w:trPr>
          <w:trHeight w:val="284"/>
        </w:trPr>
        <w:tc>
          <w:tcPr>
            <w:tcW w:w="4754" w:type="dxa"/>
            <w:tcBorders>
              <w:top w:val="single" w:sz="6" w:space="0" w:color="000000"/>
            </w:tcBorders>
          </w:tcPr>
          <w:p w:rsidR="008210AC" w:rsidRDefault="008210AC" w:rsidP="008210AC">
            <w:pPr>
              <w:pStyle w:val="TableParagraph"/>
              <w:spacing w:line="240" w:lineRule="auto"/>
              <w:rPr>
                <w:rFonts w:ascii="Times New Roman"/>
                <w:sz w:val="20"/>
              </w:rPr>
            </w:pPr>
          </w:p>
        </w:tc>
        <w:tc>
          <w:tcPr>
            <w:tcW w:w="4551" w:type="dxa"/>
            <w:tcBorders>
              <w:top w:val="single" w:sz="6" w:space="0" w:color="000000"/>
            </w:tcBorders>
          </w:tcPr>
          <w:p w:rsidR="008210AC" w:rsidRDefault="008210AC" w:rsidP="008210AC">
            <w:pPr>
              <w:pStyle w:val="TableParagraph"/>
              <w:tabs>
                <w:tab w:val="left" w:pos="1726"/>
              </w:tabs>
              <w:spacing w:before="19" w:line="245" w:lineRule="exact"/>
              <w:ind w:left="1006"/>
              <w:rPr>
                <w:b/>
              </w:rPr>
            </w:pPr>
            <w:r>
              <w:rPr>
                <w:b/>
              </w:rPr>
              <w:t>$</w:t>
            </w:r>
            <w:r>
              <w:rPr>
                <w:b/>
              </w:rPr>
              <w:tab/>
              <w:t>4,781,804</w:t>
            </w:r>
          </w:p>
        </w:tc>
      </w:tr>
    </w:tbl>
    <w:p w:rsidR="008210AC" w:rsidRDefault="008210AC" w:rsidP="008210AC">
      <w:pPr>
        <w:pStyle w:val="BodyText"/>
        <w:rPr>
          <w:sz w:val="18"/>
        </w:rPr>
      </w:pPr>
    </w:p>
    <w:p w:rsidR="008210AC" w:rsidRDefault="008210AC" w:rsidP="008210AC">
      <w:pPr>
        <w:pStyle w:val="BodyText"/>
        <w:spacing w:before="57"/>
        <w:ind w:left="160" w:right="220"/>
      </w:pPr>
      <w:r>
        <w:rPr>
          <w:u w:val="single"/>
        </w:rPr>
        <w:t>Section 2.</w:t>
      </w:r>
      <w:r>
        <w:t xml:space="preserve"> The following amounts are hereby appropriated in the General Fund for the Fiscal Year 2019- 2020 in accordance with the established chart of accounts:</w:t>
      </w:r>
    </w:p>
    <w:p w:rsidR="008210AC" w:rsidRDefault="008210AC" w:rsidP="008210AC">
      <w:pPr>
        <w:pStyle w:val="BodyText"/>
        <w:spacing w:before="7"/>
        <w:rPr>
          <w:sz w:val="25"/>
        </w:rPr>
      </w:pPr>
    </w:p>
    <w:tbl>
      <w:tblPr>
        <w:tblW w:w="0" w:type="auto"/>
        <w:tblInd w:w="167" w:type="dxa"/>
        <w:tblLayout w:type="fixed"/>
        <w:tblCellMar>
          <w:left w:w="0" w:type="dxa"/>
          <w:right w:w="0" w:type="dxa"/>
        </w:tblCellMar>
        <w:tblLook w:val="01E0" w:firstRow="1" w:lastRow="1" w:firstColumn="1" w:lastColumn="1" w:noHBand="0" w:noVBand="0"/>
      </w:tblPr>
      <w:tblGrid>
        <w:gridCol w:w="4034"/>
        <w:gridCol w:w="5273"/>
      </w:tblGrid>
      <w:tr w:rsidR="008210AC" w:rsidTr="008210AC">
        <w:trPr>
          <w:trHeight w:val="245"/>
        </w:trPr>
        <w:tc>
          <w:tcPr>
            <w:tcW w:w="4034" w:type="dxa"/>
          </w:tcPr>
          <w:p w:rsidR="008210AC" w:rsidRDefault="008210AC" w:rsidP="008210AC">
            <w:pPr>
              <w:pStyle w:val="TableParagraph"/>
              <w:spacing w:line="225" w:lineRule="exact"/>
            </w:pPr>
            <w:r>
              <w:t>Governing Body &amp; Legal</w:t>
            </w:r>
          </w:p>
        </w:tc>
        <w:tc>
          <w:tcPr>
            <w:tcW w:w="5273" w:type="dxa"/>
          </w:tcPr>
          <w:p w:rsidR="008210AC" w:rsidRDefault="008210AC" w:rsidP="008210AC">
            <w:pPr>
              <w:pStyle w:val="TableParagraph"/>
              <w:tabs>
                <w:tab w:val="left" w:pos="2446"/>
              </w:tabs>
              <w:spacing w:line="225" w:lineRule="exact"/>
              <w:ind w:left="1726"/>
            </w:pPr>
            <w:r>
              <w:t>$</w:t>
            </w:r>
            <w:r>
              <w:tab/>
              <w:t>55,500</w:t>
            </w:r>
          </w:p>
        </w:tc>
      </w:tr>
      <w:tr w:rsidR="008210AC" w:rsidTr="008210AC">
        <w:trPr>
          <w:trHeight w:val="267"/>
        </w:trPr>
        <w:tc>
          <w:tcPr>
            <w:tcW w:w="4034" w:type="dxa"/>
          </w:tcPr>
          <w:p w:rsidR="008210AC" w:rsidRDefault="008210AC" w:rsidP="008210AC">
            <w:pPr>
              <w:pStyle w:val="TableParagraph"/>
              <w:spacing w:line="248" w:lineRule="exact"/>
            </w:pPr>
            <w:r>
              <w:t>Administration &amp; Finance</w:t>
            </w:r>
          </w:p>
        </w:tc>
        <w:tc>
          <w:tcPr>
            <w:tcW w:w="5273" w:type="dxa"/>
          </w:tcPr>
          <w:p w:rsidR="008210AC" w:rsidRDefault="008210AC" w:rsidP="008210AC">
            <w:pPr>
              <w:pStyle w:val="TableParagraph"/>
              <w:spacing w:line="248" w:lineRule="exact"/>
              <w:ind w:right="1932"/>
              <w:jc w:val="right"/>
            </w:pPr>
            <w:r>
              <w:t>1,020,293</w:t>
            </w:r>
          </w:p>
        </w:tc>
      </w:tr>
      <w:tr w:rsidR="008210AC" w:rsidTr="008210AC">
        <w:trPr>
          <w:trHeight w:val="267"/>
        </w:trPr>
        <w:tc>
          <w:tcPr>
            <w:tcW w:w="4034" w:type="dxa"/>
          </w:tcPr>
          <w:p w:rsidR="008210AC" w:rsidRDefault="008210AC" w:rsidP="008210AC">
            <w:pPr>
              <w:pStyle w:val="TableParagraph"/>
              <w:spacing w:line="247" w:lineRule="exact"/>
            </w:pPr>
            <w:r>
              <w:t>Police Department</w:t>
            </w:r>
          </w:p>
        </w:tc>
        <w:tc>
          <w:tcPr>
            <w:tcW w:w="5273" w:type="dxa"/>
          </w:tcPr>
          <w:p w:rsidR="008210AC" w:rsidRDefault="008210AC" w:rsidP="008210AC">
            <w:pPr>
              <w:pStyle w:val="TableParagraph"/>
              <w:spacing w:line="247" w:lineRule="exact"/>
              <w:ind w:right="1932"/>
              <w:jc w:val="right"/>
            </w:pPr>
            <w:r>
              <w:t>1,432,898</w:t>
            </w:r>
          </w:p>
        </w:tc>
      </w:tr>
      <w:tr w:rsidR="008210AC" w:rsidTr="008210AC">
        <w:trPr>
          <w:trHeight w:val="268"/>
        </w:trPr>
        <w:tc>
          <w:tcPr>
            <w:tcW w:w="4034" w:type="dxa"/>
          </w:tcPr>
          <w:p w:rsidR="008210AC" w:rsidRDefault="008210AC" w:rsidP="008210AC">
            <w:pPr>
              <w:pStyle w:val="TableParagraph"/>
            </w:pPr>
            <w:r>
              <w:t>Fire Department</w:t>
            </w:r>
          </w:p>
        </w:tc>
        <w:tc>
          <w:tcPr>
            <w:tcW w:w="5273" w:type="dxa"/>
          </w:tcPr>
          <w:p w:rsidR="008210AC" w:rsidRDefault="008210AC" w:rsidP="008210AC">
            <w:pPr>
              <w:pStyle w:val="TableParagraph"/>
              <w:ind w:left="2426" w:right="2080"/>
              <w:jc w:val="center"/>
            </w:pPr>
            <w:r>
              <w:t>127,020</w:t>
            </w:r>
          </w:p>
        </w:tc>
      </w:tr>
      <w:tr w:rsidR="008210AC" w:rsidTr="008210AC">
        <w:trPr>
          <w:trHeight w:val="268"/>
        </w:trPr>
        <w:tc>
          <w:tcPr>
            <w:tcW w:w="4034" w:type="dxa"/>
          </w:tcPr>
          <w:p w:rsidR="008210AC" w:rsidRDefault="008210AC" w:rsidP="008210AC">
            <w:pPr>
              <w:pStyle w:val="TableParagraph"/>
            </w:pPr>
            <w:r>
              <w:t>Garage Operations</w:t>
            </w:r>
          </w:p>
        </w:tc>
        <w:tc>
          <w:tcPr>
            <w:tcW w:w="5273" w:type="dxa"/>
          </w:tcPr>
          <w:p w:rsidR="008210AC" w:rsidRDefault="008210AC" w:rsidP="008210AC">
            <w:pPr>
              <w:pStyle w:val="TableParagraph"/>
              <w:ind w:left="2426" w:right="2080"/>
              <w:jc w:val="center"/>
            </w:pPr>
            <w:r>
              <w:t>102,805</w:t>
            </w:r>
          </w:p>
        </w:tc>
      </w:tr>
      <w:tr w:rsidR="008210AC" w:rsidTr="008210AC">
        <w:trPr>
          <w:trHeight w:val="268"/>
        </w:trPr>
        <w:tc>
          <w:tcPr>
            <w:tcW w:w="4034" w:type="dxa"/>
          </w:tcPr>
          <w:p w:rsidR="008210AC" w:rsidRDefault="008210AC" w:rsidP="008210AC">
            <w:pPr>
              <w:pStyle w:val="TableParagraph"/>
            </w:pPr>
            <w:r>
              <w:t>Public Works Department</w:t>
            </w:r>
          </w:p>
        </w:tc>
        <w:tc>
          <w:tcPr>
            <w:tcW w:w="5273" w:type="dxa"/>
          </w:tcPr>
          <w:p w:rsidR="008210AC" w:rsidRDefault="008210AC" w:rsidP="008210AC">
            <w:pPr>
              <w:pStyle w:val="TableParagraph"/>
              <w:ind w:left="2426" w:right="2080"/>
              <w:jc w:val="center"/>
            </w:pPr>
            <w:r>
              <w:t>295,700</w:t>
            </w:r>
          </w:p>
        </w:tc>
      </w:tr>
      <w:tr w:rsidR="008210AC" w:rsidTr="008210AC">
        <w:trPr>
          <w:trHeight w:val="268"/>
        </w:trPr>
        <w:tc>
          <w:tcPr>
            <w:tcW w:w="4034" w:type="dxa"/>
          </w:tcPr>
          <w:p w:rsidR="008210AC" w:rsidRDefault="008210AC" w:rsidP="008210AC">
            <w:pPr>
              <w:pStyle w:val="TableParagraph"/>
            </w:pPr>
            <w:r>
              <w:t>Sanitation Department</w:t>
            </w:r>
          </w:p>
        </w:tc>
        <w:tc>
          <w:tcPr>
            <w:tcW w:w="5273" w:type="dxa"/>
          </w:tcPr>
          <w:p w:rsidR="008210AC" w:rsidRDefault="008210AC" w:rsidP="008210AC">
            <w:pPr>
              <w:pStyle w:val="TableParagraph"/>
              <w:ind w:left="2426" w:right="2080"/>
              <w:jc w:val="center"/>
            </w:pPr>
            <w:r>
              <w:t>319,067</w:t>
            </w:r>
          </w:p>
        </w:tc>
      </w:tr>
      <w:tr w:rsidR="008210AC" w:rsidTr="008210AC">
        <w:trPr>
          <w:trHeight w:val="268"/>
        </w:trPr>
        <w:tc>
          <w:tcPr>
            <w:tcW w:w="4034" w:type="dxa"/>
          </w:tcPr>
          <w:p w:rsidR="008210AC" w:rsidRDefault="008210AC" w:rsidP="008210AC">
            <w:pPr>
              <w:pStyle w:val="TableParagraph"/>
            </w:pPr>
            <w:r>
              <w:t>Planning &amp; Zoning</w:t>
            </w:r>
          </w:p>
        </w:tc>
        <w:tc>
          <w:tcPr>
            <w:tcW w:w="5273" w:type="dxa"/>
          </w:tcPr>
          <w:p w:rsidR="008210AC" w:rsidRDefault="008210AC" w:rsidP="008210AC">
            <w:pPr>
              <w:pStyle w:val="TableParagraph"/>
              <w:ind w:left="2426" w:right="2080"/>
              <w:jc w:val="center"/>
            </w:pPr>
            <w:r>
              <w:t>168,918</w:t>
            </w:r>
          </w:p>
        </w:tc>
      </w:tr>
      <w:tr w:rsidR="008210AC" w:rsidTr="008210AC">
        <w:trPr>
          <w:trHeight w:val="268"/>
        </w:trPr>
        <w:tc>
          <w:tcPr>
            <w:tcW w:w="4034" w:type="dxa"/>
          </w:tcPr>
          <w:p w:rsidR="008210AC" w:rsidRDefault="008210AC" w:rsidP="008210AC">
            <w:pPr>
              <w:pStyle w:val="TableParagraph"/>
            </w:pPr>
            <w:r>
              <w:t>Economic Development</w:t>
            </w:r>
          </w:p>
        </w:tc>
        <w:tc>
          <w:tcPr>
            <w:tcW w:w="5273" w:type="dxa"/>
          </w:tcPr>
          <w:p w:rsidR="008210AC" w:rsidRDefault="008210AC" w:rsidP="008210AC">
            <w:pPr>
              <w:pStyle w:val="TableParagraph"/>
              <w:ind w:left="2426" w:right="2080"/>
              <w:jc w:val="center"/>
            </w:pPr>
            <w:r>
              <w:t>203,351</w:t>
            </w:r>
          </w:p>
        </w:tc>
      </w:tr>
      <w:tr w:rsidR="008210AC" w:rsidTr="008210AC">
        <w:trPr>
          <w:trHeight w:val="268"/>
        </w:trPr>
        <w:tc>
          <w:tcPr>
            <w:tcW w:w="4034" w:type="dxa"/>
          </w:tcPr>
          <w:p w:rsidR="008210AC" w:rsidRDefault="008210AC" w:rsidP="008210AC">
            <w:pPr>
              <w:pStyle w:val="TableParagraph"/>
            </w:pPr>
            <w:r>
              <w:t>Debt Service</w:t>
            </w:r>
          </w:p>
        </w:tc>
        <w:tc>
          <w:tcPr>
            <w:tcW w:w="5273" w:type="dxa"/>
          </w:tcPr>
          <w:p w:rsidR="008210AC" w:rsidRDefault="008210AC" w:rsidP="008210AC">
            <w:pPr>
              <w:pStyle w:val="TableParagraph"/>
              <w:ind w:left="2426" w:right="2080"/>
              <w:jc w:val="center"/>
            </w:pPr>
            <w:r>
              <w:t>277,127</w:t>
            </w:r>
          </w:p>
        </w:tc>
      </w:tr>
      <w:tr w:rsidR="008210AC" w:rsidTr="008210AC">
        <w:trPr>
          <w:trHeight w:val="268"/>
        </w:trPr>
        <w:tc>
          <w:tcPr>
            <w:tcW w:w="4034" w:type="dxa"/>
          </w:tcPr>
          <w:p w:rsidR="008210AC" w:rsidRDefault="008210AC" w:rsidP="008210AC">
            <w:pPr>
              <w:pStyle w:val="TableParagraph"/>
            </w:pPr>
            <w:r>
              <w:t>Recreation Department</w:t>
            </w:r>
          </w:p>
        </w:tc>
        <w:tc>
          <w:tcPr>
            <w:tcW w:w="5273" w:type="dxa"/>
          </w:tcPr>
          <w:p w:rsidR="008210AC" w:rsidRDefault="008210AC" w:rsidP="008210AC">
            <w:pPr>
              <w:pStyle w:val="TableParagraph"/>
              <w:ind w:left="2426" w:right="2080"/>
              <w:jc w:val="center"/>
            </w:pPr>
            <w:r>
              <w:t>588,647</w:t>
            </w:r>
          </w:p>
        </w:tc>
      </w:tr>
      <w:tr w:rsidR="008210AC" w:rsidTr="008210AC">
        <w:trPr>
          <w:trHeight w:val="267"/>
        </w:trPr>
        <w:tc>
          <w:tcPr>
            <w:tcW w:w="4034" w:type="dxa"/>
          </w:tcPr>
          <w:p w:rsidR="008210AC" w:rsidRDefault="008210AC" w:rsidP="008210AC">
            <w:pPr>
              <w:pStyle w:val="TableParagraph"/>
              <w:spacing w:line="248" w:lineRule="exact"/>
            </w:pPr>
            <w:r>
              <w:t>Parks &amp; Gym</w:t>
            </w:r>
          </w:p>
        </w:tc>
        <w:tc>
          <w:tcPr>
            <w:tcW w:w="5273" w:type="dxa"/>
          </w:tcPr>
          <w:p w:rsidR="008210AC" w:rsidRDefault="008210AC" w:rsidP="008210AC">
            <w:pPr>
              <w:pStyle w:val="TableParagraph"/>
              <w:spacing w:line="248" w:lineRule="exact"/>
              <w:ind w:left="2314" w:right="2081"/>
              <w:jc w:val="center"/>
            </w:pPr>
            <w:r>
              <w:t>33,750</w:t>
            </w:r>
          </w:p>
        </w:tc>
      </w:tr>
      <w:tr w:rsidR="008210AC" w:rsidTr="008210AC">
        <w:trPr>
          <w:trHeight w:val="267"/>
        </w:trPr>
        <w:tc>
          <w:tcPr>
            <w:tcW w:w="4034" w:type="dxa"/>
          </w:tcPr>
          <w:p w:rsidR="008210AC" w:rsidRDefault="008210AC" w:rsidP="008210AC">
            <w:pPr>
              <w:pStyle w:val="TableParagraph"/>
              <w:spacing w:line="247" w:lineRule="exact"/>
            </w:pPr>
            <w:r>
              <w:t>Pool</w:t>
            </w:r>
          </w:p>
        </w:tc>
        <w:tc>
          <w:tcPr>
            <w:tcW w:w="5273" w:type="dxa"/>
          </w:tcPr>
          <w:p w:rsidR="008210AC" w:rsidRDefault="008210AC" w:rsidP="008210AC">
            <w:pPr>
              <w:pStyle w:val="TableParagraph"/>
              <w:spacing w:line="247" w:lineRule="exact"/>
              <w:ind w:left="2314" w:right="2081"/>
              <w:jc w:val="center"/>
            </w:pPr>
            <w:r>
              <w:t>96,228</w:t>
            </w:r>
          </w:p>
        </w:tc>
      </w:tr>
      <w:tr w:rsidR="008210AC" w:rsidTr="008210AC">
        <w:trPr>
          <w:trHeight w:val="483"/>
        </w:trPr>
        <w:tc>
          <w:tcPr>
            <w:tcW w:w="4034" w:type="dxa"/>
            <w:tcBorders>
              <w:bottom w:val="single" w:sz="6" w:space="0" w:color="000000"/>
            </w:tcBorders>
          </w:tcPr>
          <w:p w:rsidR="008210AC" w:rsidRDefault="008210AC" w:rsidP="008210AC">
            <w:pPr>
              <w:pStyle w:val="TableParagraph"/>
            </w:pPr>
            <w:r>
              <w:t>Cemetery</w:t>
            </w:r>
          </w:p>
        </w:tc>
        <w:tc>
          <w:tcPr>
            <w:tcW w:w="5273" w:type="dxa"/>
            <w:tcBorders>
              <w:bottom w:val="single" w:sz="6" w:space="0" w:color="000000"/>
            </w:tcBorders>
          </w:tcPr>
          <w:p w:rsidR="008210AC" w:rsidRDefault="008210AC" w:rsidP="008210AC">
            <w:pPr>
              <w:pStyle w:val="TableParagraph"/>
              <w:ind w:left="2314" w:right="2081"/>
              <w:jc w:val="center"/>
            </w:pPr>
            <w:r>
              <w:t>60,500</w:t>
            </w:r>
          </w:p>
        </w:tc>
      </w:tr>
      <w:tr w:rsidR="008210AC" w:rsidTr="008210AC">
        <w:trPr>
          <w:trHeight w:val="284"/>
        </w:trPr>
        <w:tc>
          <w:tcPr>
            <w:tcW w:w="4034"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273" w:type="dxa"/>
            <w:tcBorders>
              <w:top w:val="single" w:sz="6" w:space="0" w:color="000000"/>
            </w:tcBorders>
          </w:tcPr>
          <w:p w:rsidR="008210AC" w:rsidRDefault="008210AC" w:rsidP="008210AC">
            <w:pPr>
              <w:pStyle w:val="TableParagraph"/>
              <w:tabs>
                <w:tab w:val="left" w:pos="2446"/>
              </w:tabs>
              <w:spacing w:before="19" w:line="245" w:lineRule="exact"/>
              <w:ind w:left="1726"/>
              <w:rPr>
                <w:b/>
              </w:rPr>
            </w:pPr>
            <w:r>
              <w:rPr>
                <w:b/>
              </w:rPr>
              <w:t>$</w:t>
            </w:r>
            <w:r>
              <w:rPr>
                <w:b/>
              </w:rPr>
              <w:tab/>
              <w:t>4,781,804</w:t>
            </w:r>
          </w:p>
        </w:tc>
      </w:tr>
    </w:tbl>
    <w:p w:rsidR="008210AC" w:rsidRDefault="008210AC" w:rsidP="008210AC">
      <w:pPr>
        <w:pStyle w:val="BodyText"/>
        <w:spacing w:before="4"/>
      </w:pPr>
    </w:p>
    <w:p w:rsidR="008210AC" w:rsidRDefault="008210AC" w:rsidP="008210AC">
      <w:pPr>
        <w:pStyle w:val="BodyText"/>
        <w:ind w:left="160" w:right="121"/>
      </w:pPr>
      <w:r>
        <w:rPr>
          <w:u w:val="single"/>
        </w:rPr>
        <w:t>Section 3.</w:t>
      </w:r>
      <w:r>
        <w:t xml:space="preserve"> It is estimated that the following revenues will be available to the Water &amp; Sewer Fund for the Fiscal Year 2019-2020:</w:t>
      </w:r>
    </w:p>
    <w:p w:rsidR="008210AC" w:rsidRDefault="008210AC" w:rsidP="008210AC">
      <w:pPr>
        <w:pStyle w:val="BodyText"/>
        <w:spacing w:before="8"/>
        <w:rPr>
          <w:sz w:val="25"/>
        </w:rPr>
      </w:pPr>
    </w:p>
    <w:tbl>
      <w:tblPr>
        <w:tblW w:w="0" w:type="auto"/>
        <w:tblInd w:w="167" w:type="dxa"/>
        <w:tblLayout w:type="fixed"/>
        <w:tblCellMar>
          <w:left w:w="0" w:type="dxa"/>
          <w:right w:w="0" w:type="dxa"/>
        </w:tblCellMar>
        <w:tblLook w:val="01E0" w:firstRow="1" w:lastRow="1" w:firstColumn="1" w:lastColumn="1" w:noHBand="0" w:noVBand="0"/>
      </w:tblPr>
      <w:tblGrid>
        <w:gridCol w:w="3953"/>
        <w:gridCol w:w="5353"/>
      </w:tblGrid>
      <w:tr w:rsidR="008210AC" w:rsidTr="008210AC">
        <w:trPr>
          <w:trHeight w:val="244"/>
        </w:trPr>
        <w:tc>
          <w:tcPr>
            <w:tcW w:w="3953" w:type="dxa"/>
          </w:tcPr>
          <w:p w:rsidR="008210AC" w:rsidRDefault="008210AC" w:rsidP="008210AC">
            <w:pPr>
              <w:pStyle w:val="TableParagraph"/>
              <w:spacing w:line="225" w:lineRule="exact"/>
            </w:pPr>
            <w:r>
              <w:t>Water Sales</w:t>
            </w:r>
          </w:p>
        </w:tc>
        <w:tc>
          <w:tcPr>
            <w:tcW w:w="5353" w:type="dxa"/>
          </w:tcPr>
          <w:p w:rsidR="008210AC" w:rsidRDefault="008210AC" w:rsidP="008210AC">
            <w:pPr>
              <w:pStyle w:val="TableParagraph"/>
              <w:tabs>
                <w:tab w:val="left" w:pos="719"/>
              </w:tabs>
              <w:spacing w:line="225" w:lineRule="exact"/>
              <w:ind w:right="1931"/>
              <w:jc w:val="right"/>
            </w:pPr>
            <w:r>
              <w:t>$</w:t>
            </w:r>
            <w:r>
              <w:tab/>
            </w:r>
            <w:r>
              <w:rPr>
                <w:spacing w:val="-1"/>
              </w:rPr>
              <w:t>2,163,000</w:t>
            </w:r>
          </w:p>
        </w:tc>
      </w:tr>
      <w:tr w:rsidR="008210AC" w:rsidTr="008210AC">
        <w:trPr>
          <w:trHeight w:val="267"/>
        </w:trPr>
        <w:tc>
          <w:tcPr>
            <w:tcW w:w="3953" w:type="dxa"/>
          </w:tcPr>
          <w:p w:rsidR="008210AC" w:rsidRDefault="008210AC" w:rsidP="008210AC">
            <w:pPr>
              <w:pStyle w:val="TableParagraph"/>
              <w:spacing w:line="248" w:lineRule="exact"/>
            </w:pPr>
            <w:r>
              <w:t>Sewer Sales</w:t>
            </w:r>
          </w:p>
        </w:tc>
        <w:tc>
          <w:tcPr>
            <w:tcW w:w="5353" w:type="dxa"/>
          </w:tcPr>
          <w:p w:rsidR="008210AC" w:rsidRDefault="008210AC" w:rsidP="008210AC">
            <w:pPr>
              <w:pStyle w:val="TableParagraph"/>
              <w:spacing w:line="248" w:lineRule="exact"/>
              <w:ind w:right="1931"/>
              <w:jc w:val="right"/>
            </w:pPr>
            <w:r>
              <w:t>1,942,500</w:t>
            </w:r>
          </w:p>
        </w:tc>
      </w:tr>
      <w:tr w:rsidR="008210AC" w:rsidTr="008210AC">
        <w:trPr>
          <w:trHeight w:val="267"/>
        </w:trPr>
        <w:tc>
          <w:tcPr>
            <w:tcW w:w="3953" w:type="dxa"/>
          </w:tcPr>
          <w:p w:rsidR="008210AC" w:rsidRDefault="008210AC" w:rsidP="008210AC">
            <w:pPr>
              <w:pStyle w:val="TableParagraph"/>
              <w:spacing w:line="247" w:lineRule="exact"/>
            </w:pPr>
            <w:r>
              <w:t>Tap Fees</w:t>
            </w:r>
          </w:p>
        </w:tc>
        <w:tc>
          <w:tcPr>
            <w:tcW w:w="5353" w:type="dxa"/>
          </w:tcPr>
          <w:p w:rsidR="008210AC" w:rsidRDefault="008210AC" w:rsidP="008210AC">
            <w:pPr>
              <w:pStyle w:val="TableParagraph"/>
              <w:spacing w:line="247" w:lineRule="exact"/>
              <w:ind w:left="2507" w:right="2192"/>
              <w:jc w:val="center"/>
            </w:pPr>
            <w:r>
              <w:t>12,000</w:t>
            </w:r>
          </w:p>
        </w:tc>
      </w:tr>
      <w:tr w:rsidR="008210AC" w:rsidTr="008210AC">
        <w:trPr>
          <w:trHeight w:val="268"/>
        </w:trPr>
        <w:tc>
          <w:tcPr>
            <w:tcW w:w="3953" w:type="dxa"/>
          </w:tcPr>
          <w:p w:rsidR="008210AC" w:rsidRDefault="008210AC" w:rsidP="008210AC">
            <w:pPr>
              <w:pStyle w:val="TableParagraph"/>
            </w:pPr>
            <w:r>
              <w:t>Reconnect Fees</w:t>
            </w:r>
          </w:p>
        </w:tc>
        <w:tc>
          <w:tcPr>
            <w:tcW w:w="5353" w:type="dxa"/>
          </w:tcPr>
          <w:p w:rsidR="008210AC" w:rsidRDefault="008210AC" w:rsidP="008210AC">
            <w:pPr>
              <w:pStyle w:val="TableParagraph"/>
              <w:ind w:left="2507" w:right="2192"/>
              <w:jc w:val="center"/>
            </w:pPr>
            <w:r>
              <w:t>17,000</w:t>
            </w:r>
          </w:p>
        </w:tc>
      </w:tr>
      <w:tr w:rsidR="008210AC" w:rsidTr="008210AC">
        <w:trPr>
          <w:trHeight w:val="269"/>
        </w:trPr>
        <w:tc>
          <w:tcPr>
            <w:tcW w:w="3953" w:type="dxa"/>
          </w:tcPr>
          <w:p w:rsidR="008210AC" w:rsidRDefault="008210AC" w:rsidP="008210AC">
            <w:pPr>
              <w:pStyle w:val="TableParagraph"/>
            </w:pPr>
            <w:r>
              <w:t>Pulled Water Meter Fee</w:t>
            </w:r>
          </w:p>
        </w:tc>
        <w:tc>
          <w:tcPr>
            <w:tcW w:w="5353" w:type="dxa"/>
          </w:tcPr>
          <w:p w:rsidR="008210AC" w:rsidRDefault="008210AC" w:rsidP="008210AC">
            <w:pPr>
              <w:pStyle w:val="TableParagraph"/>
              <w:ind w:right="183"/>
              <w:jc w:val="center"/>
            </w:pPr>
            <w:r>
              <w:t>0</w:t>
            </w:r>
          </w:p>
        </w:tc>
      </w:tr>
      <w:tr w:rsidR="008210AC" w:rsidTr="008210AC">
        <w:trPr>
          <w:trHeight w:val="269"/>
        </w:trPr>
        <w:tc>
          <w:tcPr>
            <w:tcW w:w="3953" w:type="dxa"/>
          </w:tcPr>
          <w:p w:rsidR="008210AC" w:rsidRDefault="008210AC" w:rsidP="008210AC">
            <w:pPr>
              <w:pStyle w:val="TableParagraph"/>
            </w:pPr>
            <w:r>
              <w:t>Penalties</w:t>
            </w:r>
          </w:p>
        </w:tc>
        <w:tc>
          <w:tcPr>
            <w:tcW w:w="5353" w:type="dxa"/>
          </w:tcPr>
          <w:p w:rsidR="008210AC" w:rsidRDefault="008210AC" w:rsidP="008210AC">
            <w:pPr>
              <w:pStyle w:val="TableParagraph"/>
              <w:ind w:left="2507" w:right="2192"/>
              <w:jc w:val="center"/>
            </w:pPr>
            <w:r>
              <w:t>40,000</w:t>
            </w:r>
          </w:p>
        </w:tc>
      </w:tr>
      <w:tr w:rsidR="008210AC" w:rsidTr="008210AC">
        <w:trPr>
          <w:trHeight w:val="268"/>
        </w:trPr>
        <w:tc>
          <w:tcPr>
            <w:tcW w:w="3953" w:type="dxa"/>
          </w:tcPr>
          <w:p w:rsidR="008210AC" w:rsidRDefault="008210AC" w:rsidP="008210AC">
            <w:pPr>
              <w:pStyle w:val="TableParagraph"/>
            </w:pPr>
            <w:r>
              <w:t>Investment Earnings</w:t>
            </w:r>
          </w:p>
        </w:tc>
        <w:tc>
          <w:tcPr>
            <w:tcW w:w="5353" w:type="dxa"/>
          </w:tcPr>
          <w:p w:rsidR="008210AC" w:rsidRDefault="008210AC" w:rsidP="008210AC">
            <w:pPr>
              <w:pStyle w:val="TableParagraph"/>
              <w:ind w:left="2229" w:right="2192"/>
              <w:jc w:val="center"/>
            </w:pPr>
            <w:r>
              <w:t>500</w:t>
            </w:r>
          </w:p>
        </w:tc>
      </w:tr>
      <w:tr w:rsidR="008210AC" w:rsidTr="008210AC">
        <w:trPr>
          <w:trHeight w:val="268"/>
        </w:trPr>
        <w:tc>
          <w:tcPr>
            <w:tcW w:w="3953" w:type="dxa"/>
          </w:tcPr>
          <w:p w:rsidR="008210AC" w:rsidRDefault="008210AC" w:rsidP="008210AC">
            <w:pPr>
              <w:pStyle w:val="TableParagraph"/>
            </w:pPr>
            <w:r>
              <w:t>Miscellaneous</w:t>
            </w:r>
          </w:p>
        </w:tc>
        <w:tc>
          <w:tcPr>
            <w:tcW w:w="5353" w:type="dxa"/>
          </w:tcPr>
          <w:p w:rsidR="008210AC" w:rsidRDefault="008210AC" w:rsidP="008210AC">
            <w:pPr>
              <w:pStyle w:val="TableParagraph"/>
              <w:ind w:left="2507" w:right="2192"/>
              <w:jc w:val="center"/>
            </w:pPr>
            <w:r>
              <w:t>60,000</w:t>
            </w:r>
          </w:p>
        </w:tc>
      </w:tr>
      <w:tr w:rsidR="008210AC" w:rsidTr="008210AC">
        <w:trPr>
          <w:trHeight w:val="268"/>
        </w:trPr>
        <w:tc>
          <w:tcPr>
            <w:tcW w:w="3953" w:type="dxa"/>
          </w:tcPr>
          <w:p w:rsidR="008210AC" w:rsidRDefault="008210AC" w:rsidP="008210AC">
            <w:pPr>
              <w:pStyle w:val="TableParagraph"/>
            </w:pPr>
            <w:r>
              <w:t>Administrative Fee</w:t>
            </w:r>
          </w:p>
        </w:tc>
        <w:tc>
          <w:tcPr>
            <w:tcW w:w="5353" w:type="dxa"/>
          </w:tcPr>
          <w:p w:rsidR="008210AC" w:rsidRDefault="008210AC" w:rsidP="008210AC">
            <w:pPr>
              <w:pStyle w:val="TableParagraph"/>
              <w:ind w:left="2507" w:right="2192"/>
              <w:jc w:val="center"/>
            </w:pPr>
            <w:r>
              <w:t>15,000</w:t>
            </w:r>
          </w:p>
        </w:tc>
      </w:tr>
      <w:tr w:rsidR="008210AC" w:rsidTr="008210AC">
        <w:trPr>
          <w:trHeight w:val="483"/>
        </w:trPr>
        <w:tc>
          <w:tcPr>
            <w:tcW w:w="3953" w:type="dxa"/>
            <w:tcBorders>
              <w:bottom w:val="single" w:sz="6" w:space="0" w:color="000000"/>
            </w:tcBorders>
          </w:tcPr>
          <w:p w:rsidR="008210AC" w:rsidRDefault="008210AC" w:rsidP="008210AC">
            <w:pPr>
              <w:pStyle w:val="TableParagraph"/>
            </w:pPr>
            <w:r>
              <w:t>Fund Balance</w:t>
            </w:r>
          </w:p>
        </w:tc>
        <w:tc>
          <w:tcPr>
            <w:tcW w:w="5353" w:type="dxa"/>
            <w:tcBorders>
              <w:bottom w:val="single" w:sz="6" w:space="0" w:color="000000"/>
            </w:tcBorders>
          </w:tcPr>
          <w:p w:rsidR="008210AC" w:rsidRDefault="008210AC" w:rsidP="008210AC">
            <w:pPr>
              <w:pStyle w:val="TableParagraph"/>
              <w:ind w:left="2507" w:right="2191"/>
              <w:jc w:val="center"/>
            </w:pPr>
            <w:r>
              <w:t>59,854</w:t>
            </w:r>
          </w:p>
        </w:tc>
      </w:tr>
      <w:tr w:rsidR="008210AC" w:rsidTr="008210AC">
        <w:trPr>
          <w:trHeight w:val="284"/>
        </w:trPr>
        <w:tc>
          <w:tcPr>
            <w:tcW w:w="3953"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353" w:type="dxa"/>
            <w:tcBorders>
              <w:top w:val="single" w:sz="6" w:space="0" w:color="000000"/>
            </w:tcBorders>
          </w:tcPr>
          <w:p w:rsidR="008210AC" w:rsidRDefault="008210AC" w:rsidP="008210AC">
            <w:pPr>
              <w:pStyle w:val="TableParagraph"/>
              <w:tabs>
                <w:tab w:val="left" w:pos="719"/>
              </w:tabs>
              <w:spacing w:before="19" w:line="245" w:lineRule="exact"/>
              <w:ind w:right="1926"/>
              <w:jc w:val="right"/>
              <w:rPr>
                <w:b/>
              </w:rPr>
            </w:pPr>
            <w:r>
              <w:rPr>
                <w:b/>
              </w:rPr>
              <w:t>$</w:t>
            </w:r>
            <w:r>
              <w:rPr>
                <w:b/>
              </w:rPr>
              <w:tab/>
            </w:r>
            <w:r>
              <w:rPr>
                <w:b/>
                <w:spacing w:val="-1"/>
              </w:rPr>
              <w:t>4,309,854</w:t>
            </w:r>
          </w:p>
        </w:tc>
      </w:tr>
    </w:tbl>
    <w:p w:rsidR="008210AC" w:rsidRDefault="008210AC" w:rsidP="008210AC">
      <w:pPr>
        <w:pStyle w:val="BodyText"/>
        <w:spacing w:before="1"/>
      </w:pPr>
    </w:p>
    <w:p w:rsidR="008210AC" w:rsidRDefault="008210AC" w:rsidP="008210AC">
      <w:pPr>
        <w:pStyle w:val="BodyText"/>
        <w:spacing w:before="1"/>
        <w:ind w:left="160" w:right="142"/>
      </w:pPr>
      <w:r>
        <w:rPr>
          <w:u w:val="single"/>
        </w:rPr>
        <w:t>Section 4.</w:t>
      </w:r>
      <w:r>
        <w:t xml:space="preserve"> The following amounts are hereby appropriated in the Water &amp; Sewer Fund for the Fiscal Year 2019-2020 in accordance with the established chart of accounts:</w:t>
      </w:r>
    </w:p>
    <w:p w:rsidR="008210AC" w:rsidRDefault="008210AC" w:rsidP="008210AC">
      <w:pPr>
        <w:sectPr w:rsidR="008210AC">
          <w:pgSz w:w="12240" w:h="15840"/>
          <w:pgMar w:top="1480" w:right="1320" w:bottom="280" w:left="1280" w:header="720" w:footer="720" w:gutter="0"/>
          <w:cols w:space="720"/>
        </w:sectPr>
      </w:pPr>
    </w:p>
    <w:tbl>
      <w:tblPr>
        <w:tblW w:w="0" w:type="auto"/>
        <w:tblInd w:w="167" w:type="dxa"/>
        <w:tblLayout w:type="fixed"/>
        <w:tblCellMar>
          <w:left w:w="0" w:type="dxa"/>
          <w:right w:w="0" w:type="dxa"/>
        </w:tblCellMar>
        <w:tblLook w:val="01E0" w:firstRow="1" w:lastRow="1" w:firstColumn="1" w:lastColumn="1" w:noHBand="0" w:noVBand="0"/>
      </w:tblPr>
      <w:tblGrid>
        <w:gridCol w:w="4248"/>
        <w:gridCol w:w="5060"/>
      </w:tblGrid>
      <w:tr w:rsidR="008210AC" w:rsidTr="008210AC">
        <w:trPr>
          <w:trHeight w:val="244"/>
        </w:trPr>
        <w:tc>
          <w:tcPr>
            <w:tcW w:w="4248" w:type="dxa"/>
          </w:tcPr>
          <w:p w:rsidR="008210AC" w:rsidRDefault="008210AC" w:rsidP="008210AC">
            <w:pPr>
              <w:pStyle w:val="TableParagraph"/>
              <w:spacing w:line="225" w:lineRule="exact"/>
            </w:pPr>
            <w:r>
              <w:lastRenderedPageBreak/>
              <w:t>Debt Service</w:t>
            </w:r>
          </w:p>
        </w:tc>
        <w:tc>
          <w:tcPr>
            <w:tcW w:w="5060" w:type="dxa"/>
          </w:tcPr>
          <w:p w:rsidR="008210AC" w:rsidRDefault="008210AC" w:rsidP="008210AC">
            <w:pPr>
              <w:pStyle w:val="TableParagraph"/>
              <w:tabs>
                <w:tab w:val="left" w:pos="2232"/>
              </w:tabs>
              <w:spacing w:line="225" w:lineRule="exact"/>
              <w:ind w:left="1512"/>
            </w:pPr>
            <w:r>
              <w:t>$</w:t>
            </w:r>
            <w:r>
              <w:tab/>
              <w:t>267,901</w:t>
            </w:r>
          </w:p>
        </w:tc>
      </w:tr>
      <w:tr w:rsidR="008210AC" w:rsidTr="008210AC">
        <w:trPr>
          <w:trHeight w:val="268"/>
        </w:trPr>
        <w:tc>
          <w:tcPr>
            <w:tcW w:w="4248" w:type="dxa"/>
          </w:tcPr>
          <w:p w:rsidR="008210AC" w:rsidRDefault="008210AC" w:rsidP="008210AC">
            <w:pPr>
              <w:pStyle w:val="TableParagraph"/>
            </w:pPr>
            <w:r>
              <w:t>Administration</w:t>
            </w:r>
          </w:p>
        </w:tc>
        <w:tc>
          <w:tcPr>
            <w:tcW w:w="5060" w:type="dxa"/>
          </w:tcPr>
          <w:p w:rsidR="008210AC" w:rsidRDefault="008210AC" w:rsidP="008210AC">
            <w:pPr>
              <w:pStyle w:val="TableParagraph"/>
              <w:ind w:left="2213" w:right="2082"/>
              <w:jc w:val="center"/>
            </w:pPr>
            <w:r>
              <w:t>500,000</w:t>
            </w:r>
          </w:p>
        </w:tc>
      </w:tr>
      <w:tr w:rsidR="008210AC" w:rsidTr="008210AC">
        <w:trPr>
          <w:trHeight w:val="268"/>
        </w:trPr>
        <w:tc>
          <w:tcPr>
            <w:tcW w:w="4248" w:type="dxa"/>
          </w:tcPr>
          <w:p w:rsidR="008210AC" w:rsidRDefault="008210AC" w:rsidP="008210AC">
            <w:pPr>
              <w:pStyle w:val="TableParagraph"/>
            </w:pPr>
            <w:r>
              <w:t>Water/Wastewater Treatment</w:t>
            </w:r>
          </w:p>
        </w:tc>
        <w:tc>
          <w:tcPr>
            <w:tcW w:w="5060" w:type="dxa"/>
          </w:tcPr>
          <w:p w:rsidR="008210AC" w:rsidRDefault="008210AC" w:rsidP="008210AC">
            <w:pPr>
              <w:pStyle w:val="TableParagraph"/>
              <w:ind w:right="1933"/>
              <w:jc w:val="right"/>
            </w:pPr>
            <w:r>
              <w:t>2,224,951</w:t>
            </w:r>
          </w:p>
        </w:tc>
      </w:tr>
      <w:tr w:rsidR="008210AC" w:rsidTr="008210AC">
        <w:trPr>
          <w:trHeight w:val="267"/>
        </w:trPr>
        <w:tc>
          <w:tcPr>
            <w:tcW w:w="4248" w:type="dxa"/>
          </w:tcPr>
          <w:p w:rsidR="008210AC" w:rsidRDefault="008210AC" w:rsidP="008210AC">
            <w:pPr>
              <w:pStyle w:val="TableParagraph"/>
              <w:spacing w:line="248" w:lineRule="exact"/>
            </w:pPr>
            <w:r>
              <w:t>Public Works</w:t>
            </w:r>
          </w:p>
        </w:tc>
        <w:tc>
          <w:tcPr>
            <w:tcW w:w="5060" w:type="dxa"/>
          </w:tcPr>
          <w:p w:rsidR="008210AC" w:rsidRDefault="008210AC" w:rsidP="008210AC">
            <w:pPr>
              <w:pStyle w:val="TableParagraph"/>
              <w:spacing w:line="248" w:lineRule="exact"/>
              <w:ind w:right="1933"/>
              <w:jc w:val="right"/>
            </w:pPr>
            <w:r>
              <w:t>1,140,583</w:t>
            </w:r>
          </w:p>
        </w:tc>
      </w:tr>
      <w:tr w:rsidR="008210AC" w:rsidTr="008210AC">
        <w:trPr>
          <w:trHeight w:val="267"/>
        </w:trPr>
        <w:tc>
          <w:tcPr>
            <w:tcW w:w="4248" w:type="dxa"/>
          </w:tcPr>
          <w:p w:rsidR="008210AC" w:rsidRDefault="008210AC" w:rsidP="008210AC">
            <w:pPr>
              <w:pStyle w:val="TableParagraph"/>
              <w:spacing w:line="247" w:lineRule="exact"/>
            </w:pPr>
            <w:r>
              <w:t>New Line Construction</w:t>
            </w:r>
          </w:p>
        </w:tc>
        <w:tc>
          <w:tcPr>
            <w:tcW w:w="5060" w:type="dxa"/>
          </w:tcPr>
          <w:p w:rsidR="008210AC" w:rsidRDefault="008210AC" w:rsidP="008210AC">
            <w:pPr>
              <w:pStyle w:val="TableParagraph"/>
              <w:spacing w:line="247" w:lineRule="exact"/>
              <w:ind w:left="2213" w:right="2081"/>
              <w:jc w:val="center"/>
            </w:pPr>
            <w:r>
              <w:t>176,419</w:t>
            </w:r>
          </w:p>
        </w:tc>
      </w:tr>
      <w:tr w:rsidR="008210AC" w:rsidTr="008210AC">
        <w:trPr>
          <w:trHeight w:val="483"/>
        </w:trPr>
        <w:tc>
          <w:tcPr>
            <w:tcW w:w="4248" w:type="dxa"/>
            <w:tcBorders>
              <w:bottom w:val="single" w:sz="6" w:space="0" w:color="000000"/>
            </w:tcBorders>
          </w:tcPr>
          <w:p w:rsidR="008210AC" w:rsidRDefault="008210AC" w:rsidP="008210AC">
            <w:pPr>
              <w:pStyle w:val="TableParagraph"/>
            </w:pPr>
            <w:r>
              <w:t>Capital Project</w:t>
            </w:r>
          </w:p>
        </w:tc>
        <w:tc>
          <w:tcPr>
            <w:tcW w:w="5060" w:type="dxa"/>
            <w:tcBorders>
              <w:bottom w:val="single" w:sz="6" w:space="0" w:color="000000"/>
            </w:tcBorders>
          </w:tcPr>
          <w:p w:rsidR="008210AC" w:rsidRDefault="008210AC" w:rsidP="008210AC">
            <w:pPr>
              <w:pStyle w:val="TableParagraph"/>
              <w:ind w:right="480"/>
              <w:jc w:val="center"/>
            </w:pPr>
            <w:r>
              <w:t>0</w:t>
            </w:r>
          </w:p>
        </w:tc>
      </w:tr>
      <w:tr w:rsidR="008210AC" w:rsidTr="008210AC">
        <w:trPr>
          <w:trHeight w:val="284"/>
        </w:trPr>
        <w:tc>
          <w:tcPr>
            <w:tcW w:w="4248"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060" w:type="dxa"/>
            <w:tcBorders>
              <w:top w:val="single" w:sz="6" w:space="0" w:color="000000"/>
            </w:tcBorders>
          </w:tcPr>
          <w:p w:rsidR="008210AC" w:rsidRDefault="008210AC" w:rsidP="008210AC">
            <w:pPr>
              <w:pStyle w:val="TableParagraph"/>
              <w:tabs>
                <w:tab w:val="left" w:pos="2232"/>
              </w:tabs>
              <w:spacing w:before="19" w:line="245" w:lineRule="exact"/>
              <w:ind w:left="1512"/>
              <w:rPr>
                <w:b/>
              </w:rPr>
            </w:pPr>
            <w:r>
              <w:rPr>
                <w:b/>
              </w:rPr>
              <w:t>$</w:t>
            </w:r>
            <w:r>
              <w:rPr>
                <w:b/>
              </w:rPr>
              <w:tab/>
              <w:t>4,309,854</w:t>
            </w:r>
          </w:p>
        </w:tc>
      </w:tr>
    </w:tbl>
    <w:p w:rsidR="008210AC" w:rsidRDefault="008210AC" w:rsidP="008210AC">
      <w:pPr>
        <w:pStyle w:val="BodyText"/>
        <w:rPr>
          <w:sz w:val="18"/>
        </w:rPr>
      </w:pPr>
    </w:p>
    <w:p w:rsidR="008210AC" w:rsidRDefault="008210AC" w:rsidP="008210AC">
      <w:pPr>
        <w:pStyle w:val="BodyText"/>
        <w:spacing w:before="57"/>
        <w:ind w:left="160" w:right="437"/>
      </w:pPr>
      <w:r>
        <w:rPr>
          <w:u w:val="single"/>
        </w:rPr>
        <w:t>Section 5.</w:t>
      </w:r>
      <w:r>
        <w:t xml:space="preserve"> It is estimated that the following revenues will be available to the Natural Gas Fund for the Fiscal Year 2019-2020:</w:t>
      </w:r>
    </w:p>
    <w:p w:rsidR="008210AC" w:rsidRDefault="008210AC" w:rsidP="008210AC">
      <w:pPr>
        <w:pStyle w:val="BodyText"/>
        <w:spacing w:before="7"/>
        <w:rPr>
          <w:sz w:val="25"/>
        </w:rPr>
      </w:pPr>
    </w:p>
    <w:tbl>
      <w:tblPr>
        <w:tblW w:w="0" w:type="auto"/>
        <w:tblInd w:w="167" w:type="dxa"/>
        <w:tblLayout w:type="fixed"/>
        <w:tblCellMar>
          <w:left w:w="0" w:type="dxa"/>
          <w:right w:w="0" w:type="dxa"/>
        </w:tblCellMar>
        <w:tblLook w:val="01E0" w:firstRow="1" w:lastRow="1" w:firstColumn="1" w:lastColumn="1" w:noHBand="0" w:noVBand="0"/>
      </w:tblPr>
      <w:tblGrid>
        <w:gridCol w:w="4427"/>
        <w:gridCol w:w="4879"/>
      </w:tblGrid>
      <w:tr w:rsidR="008210AC" w:rsidTr="008210AC">
        <w:trPr>
          <w:trHeight w:val="245"/>
        </w:trPr>
        <w:tc>
          <w:tcPr>
            <w:tcW w:w="4427" w:type="dxa"/>
          </w:tcPr>
          <w:p w:rsidR="008210AC" w:rsidRDefault="008210AC" w:rsidP="008210AC">
            <w:pPr>
              <w:pStyle w:val="TableParagraph"/>
              <w:spacing w:line="225" w:lineRule="exact"/>
            </w:pPr>
            <w:r>
              <w:t>Sales of Gas</w:t>
            </w:r>
          </w:p>
        </w:tc>
        <w:tc>
          <w:tcPr>
            <w:tcW w:w="4879" w:type="dxa"/>
          </w:tcPr>
          <w:p w:rsidR="008210AC" w:rsidRDefault="008210AC" w:rsidP="008210AC">
            <w:pPr>
              <w:pStyle w:val="TableParagraph"/>
              <w:tabs>
                <w:tab w:val="left" w:pos="2053"/>
              </w:tabs>
              <w:spacing w:line="225" w:lineRule="exact"/>
              <w:ind w:left="1333"/>
            </w:pPr>
            <w:r>
              <w:t>$</w:t>
            </w:r>
            <w:r>
              <w:tab/>
              <w:t>1,285,000</w:t>
            </w:r>
          </w:p>
        </w:tc>
      </w:tr>
      <w:tr w:rsidR="008210AC" w:rsidTr="008210AC">
        <w:trPr>
          <w:trHeight w:val="267"/>
        </w:trPr>
        <w:tc>
          <w:tcPr>
            <w:tcW w:w="4427" w:type="dxa"/>
          </w:tcPr>
          <w:p w:rsidR="008210AC" w:rsidRDefault="008210AC" w:rsidP="008210AC">
            <w:pPr>
              <w:pStyle w:val="TableParagraph"/>
              <w:spacing w:line="248" w:lineRule="exact"/>
            </w:pPr>
            <w:r>
              <w:t>Cut-</w:t>
            </w:r>
            <w:proofErr w:type="spellStart"/>
            <w:r>
              <w:t>ons</w:t>
            </w:r>
            <w:proofErr w:type="spellEnd"/>
            <w:r>
              <w:t xml:space="preserve"> &amp; Reconnects &amp; Extension</w:t>
            </w:r>
          </w:p>
        </w:tc>
        <w:tc>
          <w:tcPr>
            <w:tcW w:w="4879" w:type="dxa"/>
          </w:tcPr>
          <w:p w:rsidR="008210AC" w:rsidRDefault="008210AC" w:rsidP="008210AC">
            <w:pPr>
              <w:pStyle w:val="TableParagraph"/>
              <w:spacing w:line="248" w:lineRule="exact"/>
              <w:ind w:left="1925" w:right="2191"/>
              <w:jc w:val="center"/>
            </w:pPr>
            <w:r>
              <w:t>2,200</w:t>
            </w:r>
          </w:p>
        </w:tc>
      </w:tr>
      <w:tr w:rsidR="008210AC" w:rsidTr="008210AC">
        <w:trPr>
          <w:trHeight w:val="267"/>
        </w:trPr>
        <w:tc>
          <w:tcPr>
            <w:tcW w:w="4427" w:type="dxa"/>
          </w:tcPr>
          <w:p w:rsidR="008210AC" w:rsidRDefault="008210AC" w:rsidP="008210AC">
            <w:pPr>
              <w:pStyle w:val="TableParagraph"/>
              <w:spacing w:line="247" w:lineRule="exact"/>
            </w:pPr>
            <w:r>
              <w:t>Penalties</w:t>
            </w:r>
          </w:p>
        </w:tc>
        <w:tc>
          <w:tcPr>
            <w:tcW w:w="4879" w:type="dxa"/>
          </w:tcPr>
          <w:p w:rsidR="008210AC" w:rsidRDefault="008210AC" w:rsidP="008210AC">
            <w:pPr>
              <w:pStyle w:val="TableParagraph"/>
              <w:spacing w:line="247" w:lineRule="exact"/>
              <w:ind w:left="2035" w:right="2191"/>
              <w:jc w:val="center"/>
            </w:pPr>
            <w:r>
              <w:t>35,000</w:t>
            </w:r>
          </w:p>
        </w:tc>
      </w:tr>
      <w:tr w:rsidR="008210AC" w:rsidTr="008210AC">
        <w:trPr>
          <w:trHeight w:val="268"/>
        </w:trPr>
        <w:tc>
          <w:tcPr>
            <w:tcW w:w="4427" w:type="dxa"/>
          </w:tcPr>
          <w:p w:rsidR="008210AC" w:rsidRDefault="008210AC" w:rsidP="008210AC">
            <w:pPr>
              <w:pStyle w:val="TableParagraph"/>
            </w:pPr>
            <w:r>
              <w:t>Miscellaneous</w:t>
            </w:r>
          </w:p>
        </w:tc>
        <w:tc>
          <w:tcPr>
            <w:tcW w:w="4879" w:type="dxa"/>
          </w:tcPr>
          <w:p w:rsidR="008210AC" w:rsidRDefault="008210AC" w:rsidP="008210AC">
            <w:pPr>
              <w:pStyle w:val="TableParagraph"/>
              <w:ind w:left="1925" w:right="2191"/>
              <w:jc w:val="center"/>
            </w:pPr>
            <w:r>
              <w:t>1,000</w:t>
            </w:r>
          </w:p>
        </w:tc>
      </w:tr>
      <w:tr w:rsidR="008210AC" w:rsidTr="008210AC">
        <w:trPr>
          <w:trHeight w:val="268"/>
        </w:trPr>
        <w:tc>
          <w:tcPr>
            <w:tcW w:w="4427" w:type="dxa"/>
          </w:tcPr>
          <w:p w:rsidR="008210AC" w:rsidRDefault="008210AC" w:rsidP="008210AC">
            <w:pPr>
              <w:pStyle w:val="TableParagraph"/>
            </w:pPr>
            <w:r>
              <w:t>Interest</w:t>
            </w:r>
          </w:p>
        </w:tc>
        <w:tc>
          <w:tcPr>
            <w:tcW w:w="4879" w:type="dxa"/>
          </w:tcPr>
          <w:p w:rsidR="008210AC" w:rsidRDefault="008210AC" w:rsidP="008210AC">
            <w:pPr>
              <w:pStyle w:val="TableParagraph"/>
              <w:ind w:right="657"/>
              <w:jc w:val="center"/>
            </w:pPr>
            <w:r>
              <w:t>0</w:t>
            </w:r>
          </w:p>
        </w:tc>
      </w:tr>
      <w:tr w:rsidR="008210AC" w:rsidTr="008210AC">
        <w:trPr>
          <w:trHeight w:val="483"/>
        </w:trPr>
        <w:tc>
          <w:tcPr>
            <w:tcW w:w="4427" w:type="dxa"/>
            <w:tcBorders>
              <w:bottom w:val="single" w:sz="6" w:space="0" w:color="000000"/>
            </w:tcBorders>
          </w:tcPr>
          <w:p w:rsidR="008210AC" w:rsidRDefault="008210AC" w:rsidP="008210AC">
            <w:pPr>
              <w:pStyle w:val="TableParagraph"/>
            </w:pPr>
            <w:r>
              <w:t>Fund Balance</w:t>
            </w:r>
          </w:p>
        </w:tc>
        <w:tc>
          <w:tcPr>
            <w:tcW w:w="4879" w:type="dxa"/>
            <w:tcBorders>
              <w:bottom w:val="single" w:sz="6" w:space="0" w:color="000000"/>
            </w:tcBorders>
          </w:tcPr>
          <w:p w:rsidR="008210AC" w:rsidRDefault="008210AC" w:rsidP="008210AC">
            <w:pPr>
              <w:pStyle w:val="TableParagraph"/>
              <w:ind w:right="657"/>
              <w:jc w:val="center"/>
            </w:pPr>
            <w:r>
              <w:t>0</w:t>
            </w:r>
          </w:p>
        </w:tc>
      </w:tr>
      <w:tr w:rsidR="008210AC" w:rsidTr="008210AC">
        <w:trPr>
          <w:trHeight w:val="284"/>
        </w:trPr>
        <w:tc>
          <w:tcPr>
            <w:tcW w:w="4427" w:type="dxa"/>
            <w:tcBorders>
              <w:top w:val="single" w:sz="6" w:space="0" w:color="000000"/>
            </w:tcBorders>
          </w:tcPr>
          <w:p w:rsidR="008210AC" w:rsidRDefault="008210AC" w:rsidP="008210AC">
            <w:pPr>
              <w:pStyle w:val="TableParagraph"/>
              <w:spacing w:line="240" w:lineRule="auto"/>
              <w:rPr>
                <w:rFonts w:ascii="Times New Roman"/>
                <w:sz w:val="20"/>
              </w:rPr>
            </w:pPr>
          </w:p>
        </w:tc>
        <w:tc>
          <w:tcPr>
            <w:tcW w:w="4879" w:type="dxa"/>
            <w:tcBorders>
              <w:top w:val="single" w:sz="6" w:space="0" w:color="000000"/>
            </w:tcBorders>
          </w:tcPr>
          <w:p w:rsidR="008210AC" w:rsidRDefault="008210AC" w:rsidP="008210AC">
            <w:pPr>
              <w:pStyle w:val="TableParagraph"/>
              <w:tabs>
                <w:tab w:val="left" w:pos="2053"/>
              </w:tabs>
              <w:spacing w:before="19" w:line="245" w:lineRule="exact"/>
              <w:ind w:left="1333"/>
              <w:rPr>
                <w:b/>
              </w:rPr>
            </w:pPr>
            <w:r>
              <w:rPr>
                <w:b/>
              </w:rPr>
              <w:t>$</w:t>
            </w:r>
            <w:r>
              <w:rPr>
                <w:b/>
              </w:rPr>
              <w:tab/>
              <w:t>1,323,200</w:t>
            </w:r>
          </w:p>
        </w:tc>
      </w:tr>
    </w:tbl>
    <w:p w:rsidR="008210AC" w:rsidRDefault="008210AC" w:rsidP="008210AC">
      <w:pPr>
        <w:pStyle w:val="BodyText"/>
        <w:spacing w:before="4"/>
      </w:pPr>
    </w:p>
    <w:p w:rsidR="008210AC" w:rsidRDefault="008210AC" w:rsidP="008210AC">
      <w:pPr>
        <w:pStyle w:val="BodyText"/>
        <w:ind w:left="160" w:right="457"/>
      </w:pPr>
      <w:r>
        <w:rPr>
          <w:u w:val="single"/>
        </w:rPr>
        <w:t>Section 6.</w:t>
      </w:r>
      <w:r>
        <w:t xml:space="preserve"> The following amounts are hereby appropriated in the Natural Gas Fund for the Fiscal Year 2019-2020 in accordance with the established chart of accounts:</w:t>
      </w:r>
    </w:p>
    <w:p w:rsidR="008210AC" w:rsidRDefault="008210AC" w:rsidP="008210AC">
      <w:pPr>
        <w:pStyle w:val="BodyText"/>
        <w:spacing w:before="5" w:after="1"/>
        <w:rPr>
          <w:sz w:val="25"/>
        </w:rPr>
      </w:pPr>
    </w:p>
    <w:tbl>
      <w:tblPr>
        <w:tblW w:w="0" w:type="auto"/>
        <w:tblInd w:w="167" w:type="dxa"/>
        <w:tblLayout w:type="fixed"/>
        <w:tblCellMar>
          <w:left w:w="0" w:type="dxa"/>
          <w:right w:w="0" w:type="dxa"/>
        </w:tblCellMar>
        <w:tblLook w:val="01E0" w:firstRow="1" w:lastRow="1" w:firstColumn="1" w:lastColumn="1" w:noHBand="0" w:noVBand="0"/>
      </w:tblPr>
      <w:tblGrid>
        <w:gridCol w:w="3569"/>
        <w:gridCol w:w="5736"/>
      </w:tblGrid>
      <w:tr w:rsidR="008210AC" w:rsidTr="008210AC">
        <w:trPr>
          <w:trHeight w:val="244"/>
        </w:trPr>
        <w:tc>
          <w:tcPr>
            <w:tcW w:w="3569" w:type="dxa"/>
          </w:tcPr>
          <w:p w:rsidR="008210AC" w:rsidRDefault="008210AC" w:rsidP="008210AC">
            <w:pPr>
              <w:pStyle w:val="TableParagraph"/>
              <w:spacing w:line="225" w:lineRule="exact"/>
            </w:pPr>
            <w:r>
              <w:t>Debt Service</w:t>
            </w:r>
          </w:p>
        </w:tc>
        <w:tc>
          <w:tcPr>
            <w:tcW w:w="5736" w:type="dxa"/>
          </w:tcPr>
          <w:p w:rsidR="008210AC" w:rsidRDefault="008210AC" w:rsidP="008210AC">
            <w:pPr>
              <w:pStyle w:val="TableParagraph"/>
              <w:tabs>
                <w:tab w:val="left" w:pos="2911"/>
              </w:tabs>
              <w:spacing w:line="225" w:lineRule="exact"/>
              <w:ind w:left="2191"/>
            </w:pPr>
            <w:r>
              <w:t>$</w:t>
            </w:r>
            <w:r>
              <w:tab/>
              <w:t>70,030</w:t>
            </w:r>
          </w:p>
        </w:tc>
      </w:tr>
      <w:tr w:rsidR="008210AC" w:rsidTr="008210AC">
        <w:trPr>
          <w:trHeight w:val="269"/>
        </w:trPr>
        <w:tc>
          <w:tcPr>
            <w:tcW w:w="3569" w:type="dxa"/>
          </w:tcPr>
          <w:p w:rsidR="008210AC" w:rsidRDefault="008210AC" w:rsidP="008210AC">
            <w:pPr>
              <w:pStyle w:val="TableParagraph"/>
            </w:pPr>
            <w:r>
              <w:t>Administration</w:t>
            </w:r>
          </w:p>
        </w:tc>
        <w:tc>
          <w:tcPr>
            <w:tcW w:w="5736" w:type="dxa"/>
          </w:tcPr>
          <w:p w:rsidR="008210AC" w:rsidRDefault="008210AC" w:rsidP="008210AC">
            <w:pPr>
              <w:pStyle w:val="TableParagraph"/>
              <w:ind w:left="2892" w:right="2079"/>
              <w:jc w:val="center"/>
            </w:pPr>
            <w:r>
              <w:t>300,000</w:t>
            </w:r>
          </w:p>
        </w:tc>
      </w:tr>
      <w:tr w:rsidR="008210AC" w:rsidTr="008210AC">
        <w:trPr>
          <w:trHeight w:val="483"/>
        </w:trPr>
        <w:tc>
          <w:tcPr>
            <w:tcW w:w="3569" w:type="dxa"/>
            <w:tcBorders>
              <w:bottom w:val="single" w:sz="6" w:space="0" w:color="000000"/>
            </w:tcBorders>
          </w:tcPr>
          <w:p w:rsidR="008210AC" w:rsidRDefault="008210AC" w:rsidP="008210AC">
            <w:pPr>
              <w:pStyle w:val="TableParagraph"/>
            </w:pPr>
            <w:r>
              <w:t>Gas Operations</w:t>
            </w:r>
          </w:p>
        </w:tc>
        <w:tc>
          <w:tcPr>
            <w:tcW w:w="5736" w:type="dxa"/>
            <w:tcBorders>
              <w:bottom w:val="single" w:sz="6" w:space="0" w:color="000000"/>
            </w:tcBorders>
          </w:tcPr>
          <w:p w:rsidR="008210AC" w:rsidRDefault="008210AC" w:rsidP="008210AC">
            <w:pPr>
              <w:pStyle w:val="TableParagraph"/>
              <w:ind w:left="2892" w:right="2079"/>
              <w:jc w:val="center"/>
            </w:pPr>
            <w:r>
              <w:t>953,170</w:t>
            </w:r>
          </w:p>
        </w:tc>
      </w:tr>
      <w:tr w:rsidR="008210AC" w:rsidTr="008210AC">
        <w:trPr>
          <w:trHeight w:val="284"/>
        </w:trPr>
        <w:tc>
          <w:tcPr>
            <w:tcW w:w="3569"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736" w:type="dxa"/>
            <w:tcBorders>
              <w:top w:val="single" w:sz="6" w:space="0" w:color="000000"/>
            </w:tcBorders>
          </w:tcPr>
          <w:p w:rsidR="008210AC" w:rsidRDefault="008210AC" w:rsidP="008210AC">
            <w:pPr>
              <w:pStyle w:val="TableParagraph"/>
              <w:tabs>
                <w:tab w:val="left" w:pos="2911"/>
              </w:tabs>
              <w:spacing w:before="19" w:line="245" w:lineRule="exact"/>
              <w:ind w:left="2191"/>
              <w:rPr>
                <w:b/>
              </w:rPr>
            </w:pPr>
            <w:r>
              <w:rPr>
                <w:b/>
              </w:rPr>
              <w:t>$</w:t>
            </w:r>
            <w:r>
              <w:rPr>
                <w:b/>
              </w:rPr>
              <w:tab/>
              <w:t>1,323,200</w:t>
            </w:r>
          </w:p>
        </w:tc>
      </w:tr>
    </w:tbl>
    <w:p w:rsidR="008210AC" w:rsidRDefault="008210AC" w:rsidP="008210AC">
      <w:pPr>
        <w:pStyle w:val="BodyText"/>
        <w:spacing w:before="4"/>
      </w:pPr>
    </w:p>
    <w:p w:rsidR="008210AC" w:rsidRDefault="008210AC" w:rsidP="008210AC">
      <w:pPr>
        <w:pStyle w:val="BodyText"/>
        <w:spacing w:after="45"/>
        <w:ind w:left="160" w:right="332"/>
      </w:pPr>
      <w:r>
        <w:rPr>
          <w:u w:val="single"/>
        </w:rPr>
        <w:t>Section 7</w:t>
      </w:r>
      <w:r>
        <w:t>. It is estimated that the following revenues will be available to the Storm Water Fund for the Fiscal Year 2019-2020:</w:t>
      </w:r>
    </w:p>
    <w:tbl>
      <w:tblPr>
        <w:tblW w:w="0" w:type="auto"/>
        <w:tblInd w:w="167" w:type="dxa"/>
        <w:tblLayout w:type="fixed"/>
        <w:tblCellMar>
          <w:left w:w="0" w:type="dxa"/>
          <w:right w:w="0" w:type="dxa"/>
        </w:tblCellMar>
        <w:tblLook w:val="01E0" w:firstRow="1" w:lastRow="1" w:firstColumn="1" w:lastColumn="1" w:noHBand="0" w:noVBand="0"/>
      </w:tblPr>
      <w:tblGrid>
        <w:gridCol w:w="4104"/>
        <w:gridCol w:w="5201"/>
      </w:tblGrid>
      <w:tr w:rsidR="008210AC" w:rsidTr="008210AC">
        <w:trPr>
          <w:trHeight w:val="244"/>
        </w:trPr>
        <w:tc>
          <w:tcPr>
            <w:tcW w:w="4104" w:type="dxa"/>
          </w:tcPr>
          <w:p w:rsidR="008210AC" w:rsidRDefault="008210AC" w:rsidP="008210AC">
            <w:pPr>
              <w:pStyle w:val="TableParagraph"/>
              <w:spacing w:line="225" w:lineRule="exact"/>
            </w:pPr>
            <w:r>
              <w:t>Storm Water Charges</w:t>
            </w:r>
          </w:p>
        </w:tc>
        <w:tc>
          <w:tcPr>
            <w:tcW w:w="5201" w:type="dxa"/>
          </w:tcPr>
          <w:p w:rsidR="008210AC" w:rsidRDefault="008210AC" w:rsidP="008210AC">
            <w:pPr>
              <w:pStyle w:val="TableParagraph"/>
              <w:tabs>
                <w:tab w:val="left" w:pos="2376"/>
              </w:tabs>
              <w:spacing w:line="225" w:lineRule="exact"/>
              <w:ind w:left="1656"/>
            </w:pPr>
            <w:r>
              <w:t>$</w:t>
            </w:r>
            <w:r>
              <w:tab/>
              <w:t>98,500</w:t>
            </w:r>
          </w:p>
        </w:tc>
      </w:tr>
      <w:tr w:rsidR="008210AC" w:rsidTr="008210AC">
        <w:trPr>
          <w:trHeight w:val="480"/>
        </w:trPr>
        <w:tc>
          <w:tcPr>
            <w:tcW w:w="4104" w:type="dxa"/>
            <w:tcBorders>
              <w:bottom w:val="single" w:sz="6" w:space="0" w:color="000000"/>
            </w:tcBorders>
          </w:tcPr>
          <w:p w:rsidR="008210AC" w:rsidRDefault="008210AC" w:rsidP="008210AC">
            <w:pPr>
              <w:pStyle w:val="TableParagraph"/>
            </w:pPr>
            <w:r>
              <w:t>Appropriated Fund Balance</w:t>
            </w:r>
          </w:p>
        </w:tc>
        <w:tc>
          <w:tcPr>
            <w:tcW w:w="5201" w:type="dxa"/>
            <w:tcBorders>
              <w:bottom w:val="single" w:sz="6" w:space="0" w:color="000000"/>
            </w:tcBorders>
          </w:tcPr>
          <w:p w:rsidR="008210AC" w:rsidRDefault="008210AC" w:rsidP="008210AC">
            <w:pPr>
              <w:pStyle w:val="TableParagraph"/>
              <w:ind w:left="2356" w:right="2191"/>
              <w:jc w:val="center"/>
            </w:pPr>
            <w:r>
              <w:t>10,241</w:t>
            </w:r>
          </w:p>
        </w:tc>
      </w:tr>
      <w:tr w:rsidR="008210AC" w:rsidTr="008210AC">
        <w:trPr>
          <w:trHeight w:val="284"/>
        </w:trPr>
        <w:tc>
          <w:tcPr>
            <w:tcW w:w="4104"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201" w:type="dxa"/>
            <w:tcBorders>
              <w:top w:val="single" w:sz="6" w:space="0" w:color="000000"/>
            </w:tcBorders>
          </w:tcPr>
          <w:p w:rsidR="008210AC" w:rsidRDefault="008210AC" w:rsidP="008210AC">
            <w:pPr>
              <w:pStyle w:val="TableParagraph"/>
              <w:tabs>
                <w:tab w:val="left" w:pos="2376"/>
              </w:tabs>
              <w:spacing w:before="19" w:line="245" w:lineRule="exact"/>
              <w:ind w:left="1656"/>
              <w:rPr>
                <w:b/>
              </w:rPr>
            </w:pPr>
            <w:r>
              <w:rPr>
                <w:b/>
              </w:rPr>
              <w:t>$</w:t>
            </w:r>
            <w:r>
              <w:rPr>
                <w:b/>
              </w:rPr>
              <w:tab/>
              <w:t>108,741</w:t>
            </w:r>
          </w:p>
        </w:tc>
      </w:tr>
    </w:tbl>
    <w:p w:rsidR="008210AC" w:rsidRDefault="008210AC" w:rsidP="008210AC">
      <w:pPr>
        <w:pStyle w:val="BodyText"/>
        <w:spacing w:before="4"/>
      </w:pPr>
    </w:p>
    <w:p w:rsidR="008210AC" w:rsidRDefault="008210AC" w:rsidP="008210AC">
      <w:pPr>
        <w:pStyle w:val="BodyText"/>
        <w:spacing w:before="1" w:after="44"/>
        <w:ind w:left="160" w:right="348"/>
      </w:pPr>
      <w:r>
        <w:rPr>
          <w:u w:val="single"/>
        </w:rPr>
        <w:t>Section 8.</w:t>
      </w:r>
      <w:r>
        <w:t xml:space="preserve"> The following amounts are hereby appropriated in the Storm Water Fund for the Fiscal Year 2019-2020 in accordance with the established chart of accounts:</w:t>
      </w:r>
    </w:p>
    <w:tbl>
      <w:tblPr>
        <w:tblW w:w="0" w:type="auto"/>
        <w:tblInd w:w="167" w:type="dxa"/>
        <w:tblLayout w:type="fixed"/>
        <w:tblCellMar>
          <w:left w:w="0" w:type="dxa"/>
          <w:right w:w="0" w:type="dxa"/>
        </w:tblCellMar>
        <w:tblLook w:val="01E0" w:firstRow="1" w:lastRow="1" w:firstColumn="1" w:lastColumn="1" w:noHBand="0" w:noVBand="0"/>
      </w:tblPr>
      <w:tblGrid>
        <w:gridCol w:w="3443"/>
        <w:gridCol w:w="5862"/>
      </w:tblGrid>
      <w:tr w:rsidR="008210AC" w:rsidTr="008210AC">
        <w:trPr>
          <w:trHeight w:val="244"/>
        </w:trPr>
        <w:tc>
          <w:tcPr>
            <w:tcW w:w="3443" w:type="dxa"/>
          </w:tcPr>
          <w:p w:rsidR="008210AC" w:rsidRDefault="008210AC" w:rsidP="008210AC">
            <w:pPr>
              <w:pStyle w:val="TableParagraph"/>
              <w:spacing w:line="225" w:lineRule="exact"/>
            </w:pPr>
            <w:r>
              <w:t>Debt Service</w:t>
            </w:r>
          </w:p>
        </w:tc>
        <w:tc>
          <w:tcPr>
            <w:tcW w:w="5862" w:type="dxa"/>
          </w:tcPr>
          <w:p w:rsidR="008210AC" w:rsidRDefault="008210AC" w:rsidP="008210AC">
            <w:pPr>
              <w:pStyle w:val="TableParagraph"/>
              <w:tabs>
                <w:tab w:val="left" w:pos="826"/>
              </w:tabs>
              <w:spacing w:line="225" w:lineRule="exact"/>
              <w:ind w:left="106"/>
              <w:jc w:val="center"/>
            </w:pPr>
            <w:r>
              <w:t>$</w:t>
            </w:r>
            <w:r>
              <w:tab/>
              <w:t>35,441</w:t>
            </w:r>
          </w:p>
        </w:tc>
      </w:tr>
      <w:tr w:rsidR="008210AC" w:rsidTr="008210AC">
        <w:trPr>
          <w:trHeight w:val="483"/>
        </w:trPr>
        <w:tc>
          <w:tcPr>
            <w:tcW w:w="3443" w:type="dxa"/>
            <w:tcBorders>
              <w:bottom w:val="single" w:sz="6" w:space="0" w:color="000000"/>
            </w:tcBorders>
          </w:tcPr>
          <w:p w:rsidR="008210AC" w:rsidRDefault="008210AC" w:rsidP="008210AC">
            <w:pPr>
              <w:pStyle w:val="TableParagraph"/>
            </w:pPr>
            <w:r>
              <w:t>Operations</w:t>
            </w:r>
          </w:p>
        </w:tc>
        <w:tc>
          <w:tcPr>
            <w:tcW w:w="5862" w:type="dxa"/>
            <w:tcBorders>
              <w:bottom w:val="single" w:sz="6" w:space="0" w:color="000000"/>
            </w:tcBorders>
          </w:tcPr>
          <w:p w:rsidR="008210AC" w:rsidRDefault="008210AC" w:rsidP="008210AC">
            <w:pPr>
              <w:pStyle w:val="TableParagraph"/>
              <w:ind w:right="2209"/>
              <w:jc w:val="right"/>
            </w:pPr>
            <w:r>
              <w:t>73,300</w:t>
            </w:r>
          </w:p>
        </w:tc>
      </w:tr>
      <w:tr w:rsidR="008210AC" w:rsidTr="008210AC">
        <w:trPr>
          <w:trHeight w:val="284"/>
        </w:trPr>
        <w:tc>
          <w:tcPr>
            <w:tcW w:w="3443"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862" w:type="dxa"/>
            <w:tcBorders>
              <w:top w:val="single" w:sz="6" w:space="0" w:color="000000"/>
            </w:tcBorders>
          </w:tcPr>
          <w:p w:rsidR="008210AC" w:rsidRDefault="008210AC" w:rsidP="008210AC">
            <w:pPr>
              <w:pStyle w:val="TableParagraph"/>
              <w:tabs>
                <w:tab w:val="left" w:pos="719"/>
              </w:tabs>
              <w:spacing w:before="19" w:line="245" w:lineRule="exact"/>
              <w:ind w:right="2096"/>
              <w:jc w:val="right"/>
              <w:rPr>
                <w:b/>
              </w:rPr>
            </w:pPr>
            <w:r>
              <w:rPr>
                <w:b/>
              </w:rPr>
              <w:t>$</w:t>
            </w:r>
            <w:r>
              <w:rPr>
                <w:b/>
              </w:rPr>
              <w:tab/>
            </w:r>
            <w:r>
              <w:rPr>
                <w:b/>
                <w:spacing w:val="-1"/>
              </w:rPr>
              <w:t>108,741</w:t>
            </w:r>
          </w:p>
        </w:tc>
      </w:tr>
    </w:tbl>
    <w:p w:rsidR="008210AC" w:rsidRDefault="008210AC" w:rsidP="008210AC">
      <w:pPr>
        <w:spacing w:line="245" w:lineRule="exact"/>
        <w:jc w:val="right"/>
        <w:sectPr w:rsidR="008210AC">
          <w:pgSz w:w="12240" w:h="15840"/>
          <w:pgMar w:top="1480" w:right="1320" w:bottom="280" w:left="1280" w:header="720" w:footer="720" w:gutter="0"/>
          <w:cols w:space="720"/>
        </w:sectPr>
      </w:pPr>
    </w:p>
    <w:p w:rsidR="008210AC" w:rsidRDefault="008210AC" w:rsidP="008210AC">
      <w:pPr>
        <w:pStyle w:val="BodyText"/>
        <w:spacing w:before="39"/>
        <w:ind w:left="160" w:right="711"/>
      </w:pPr>
      <w:r>
        <w:rPr>
          <w:u w:val="single"/>
        </w:rPr>
        <w:lastRenderedPageBreak/>
        <w:t>Section 9.</w:t>
      </w:r>
      <w:r>
        <w:t xml:space="preserve"> The following revenues are expected to be available to the Cemetery Trust Fund for the Fiscal Year 2019-2020:</w:t>
      </w:r>
    </w:p>
    <w:p w:rsidR="008210AC" w:rsidRDefault="008210AC" w:rsidP="008210AC">
      <w:pPr>
        <w:pStyle w:val="BodyText"/>
        <w:spacing w:before="1"/>
      </w:pPr>
    </w:p>
    <w:p w:rsidR="008210AC" w:rsidRDefault="008210AC" w:rsidP="008210AC">
      <w:pPr>
        <w:pStyle w:val="BodyText"/>
        <w:tabs>
          <w:tab w:val="left" w:pos="5921"/>
          <w:tab w:val="left" w:pos="6641"/>
        </w:tabs>
        <w:ind w:left="160"/>
      </w:pPr>
      <w:r>
        <w:t>Fund</w:t>
      </w:r>
      <w:r>
        <w:rPr>
          <w:spacing w:val="-2"/>
        </w:rPr>
        <w:t xml:space="preserve"> </w:t>
      </w:r>
      <w:r>
        <w:t>Balance Appropriated</w:t>
      </w:r>
      <w:r>
        <w:tab/>
        <w:t>$</w:t>
      </w:r>
      <w:r>
        <w:tab/>
        <w:t>24,000</w:t>
      </w:r>
    </w:p>
    <w:p w:rsidR="008210AC" w:rsidRDefault="008210AC" w:rsidP="008210AC">
      <w:pPr>
        <w:pStyle w:val="BodyText"/>
        <w:spacing w:before="9"/>
        <w:rPr>
          <w:sz w:val="15"/>
        </w:rPr>
      </w:pPr>
      <w:r>
        <w:rPr>
          <w:noProof/>
          <w:sz w:val="22"/>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152400</wp:posOffset>
                </wp:positionV>
                <wp:extent cx="5909310" cy="0"/>
                <wp:effectExtent l="9525" t="5715" r="5715" b="1333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913B"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CDJgIAAFE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" strokeweight=".25292mm">
                <w10:wrap type="topAndBottom" anchorx="page"/>
              </v:line>
            </w:pict>
          </mc:Fallback>
        </mc:AlternateContent>
      </w:r>
    </w:p>
    <w:p w:rsidR="008210AC" w:rsidRDefault="008210AC" w:rsidP="008210AC">
      <w:pPr>
        <w:pStyle w:val="Heading1"/>
        <w:tabs>
          <w:tab w:val="left" w:pos="6641"/>
        </w:tabs>
      </w:pPr>
      <w:r>
        <w:t>$</w:t>
      </w:r>
      <w:r>
        <w:tab/>
        <w:t>24,000</w:t>
      </w:r>
    </w:p>
    <w:p w:rsidR="008210AC" w:rsidRDefault="008210AC" w:rsidP="008210AC">
      <w:pPr>
        <w:pStyle w:val="BodyText"/>
        <w:rPr>
          <w:b/>
        </w:rPr>
      </w:pPr>
    </w:p>
    <w:p w:rsidR="008210AC" w:rsidRDefault="008210AC" w:rsidP="008210AC">
      <w:pPr>
        <w:pStyle w:val="BodyText"/>
        <w:ind w:left="160" w:right="446"/>
      </w:pPr>
      <w:r>
        <w:rPr>
          <w:u w:val="single"/>
        </w:rPr>
        <w:t>Section 10.</w:t>
      </w:r>
      <w:r>
        <w:t xml:space="preserve"> The following amounts are hereby appropriated in the Cemetery Trust Fund for the Fiscal Year 2019-2020 in accordance with the established chart of accounts:</w:t>
      </w:r>
    </w:p>
    <w:p w:rsidR="008210AC" w:rsidRDefault="008210AC" w:rsidP="008210AC">
      <w:pPr>
        <w:pStyle w:val="BodyText"/>
        <w:spacing w:before="1"/>
      </w:pPr>
    </w:p>
    <w:p w:rsidR="008210AC" w:rsidRDefault="008210AC" w:rsidP="008210AC">
      <w:pPr>
        <w:pStyle w:val="BodyText"/>
        <w:tabs>
          <w:tab w:val="left" w:pos="5921"/>
          <w:tab w:val="left" w:pos="6641"/>
        </w:tabs>
        <w:ind w:left="160"/>
      </w:pPr>
      <w:r>
        <w:t>Transfer to</w:t>
      </w:r>
      <w:r>
        <w:rPr>
          <w:spacing w:val="-3"/>
        </w:rPr>
        <w:t xml:space="preserve"> </w:t>
      </w:r>
      <w:r>
        <w:t>General</w:t>
      </w:r>
      <w:r>
        <w:rPr>
          <w:spacing w:val="-4"/>
        </w:rPr>
        <w:t xml:space="preserve"> </w:t>
      </w:r>
      <w:r>
        <w:t>Fund</w:t>
      </w:r>
      <w:r>
        <w:tab/>
        <w:t>$</w:t>
      </w:r>
      <w:r>
        <w:tab/>
        <w:t>24,000</w:t>
      </w:r>
    </w:p>
    <w:p w:rsidR="008210AC" w:rsidRDefault="008210AC" w:rsidP="008210AC">
      <w:pPr>
        <w:pStyle w:val="BodyText"/>
        <w:spacing w:before="12"/>
        <w:rPr>
          <w:sz w:val="15"/>
        </w:rPr>
      </w:pPr>
      <w:r>
        <w:rPr>
          <w:noProof/>
          <w:sz w:val="22"/>
          <w:lang w:bidi="ar-SA"/>
        </w:rPr>
        <mc:AlternateContent>
          <mc:Choice Requires="wpg">
            <w:drawing>
              <wp:anchor distT="0" distB="0" distL="0" distR="0" simplePos="0" relativeHeight="251660288" behindDoc="1" locked="0" layoutInCell="1" allowOverlap="1">
                <wp:simplePos x="0" y="0"/>
                <wp:positionH relativeFrom="page">
                  <wp:posOffset>914400</wp:posOffset>
                </wp:positionH>
                <wp:positionV relativeFrom="paragraph">
                  <wp:posOffset>149225</wp:posOffset>
                </wp:positionV>
                <wp:extent cx="5912485" cy="9525"/>
                <wp:effectExtent l="9525" t="1270" r="12065" b="825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9525"/>
                          <a:chOff x="1440" y="235"/>
                          <a:chExt cx="9311" cy="15"/>
                        </a:xfrm>
                      </wpg:grpSpPr>
                      <wps:wsp>
                        <wps:cNvPr id="8" name="Line 6"/>
                        <wps:cNvCnPr>
                          <a:cxnSpLocks noChangeShapeType="1"/>
                        </wps:cNvCnPr>
                        <wps:spPr bwMode="auto">
                          <a:xfrm>
                            <a:off x="1440" y="242"/>
                            <a:ext cx="635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7797" y="242"/>
                            <a:ext cx="295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830B7" id="Group 7" o:spid="_x0000_s1026" style="position:absolute;margin-left:1in;margin-top:11.75pt;width:465.55pt;height:.75pt;z-index:-251656192;mso-wrap-distance-left:0;mso-wrap-distance-right:0;mso-position-horizontal-relative:page" coordorigin="1440,235" coordsize="9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">
                <v:line id="Line 6" o:spid="_x0000_s1027" style="position:absolute;visibility:visible;mso-wrap-style:square" from="1440,242" to="77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7" o:spid="_x0000_s1028" style="position:absolute;visibility:visible;mso-wrap-style:square" from="7797,242" to="1075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w10:wrap type="topAndBottom" anchorx="page"/>
              </v:group>
            </w:pict>
          </mc:Fallback>
        </mc:AlternateContent>
      </w:r>
    </w:p>
    <w:p w:rsidR="008210AC" w:rsidRDefault="008210AC" w:rsidP="008210AC">
      <w:pPr>
        <w:pStyle w:val="Heading1"/>
        <w:tabs>
          <w:tab w:val="left" w:pos="6641"/>
        </w:tabs>
      </w:pPr>
      <w:r>
        <w:t>$</w:t>
      </w:r>
      <w:r>
        <w:tab/>
        <w:t>24,000</w:t>
      </w:r>
    </w:p>
    <w:p w:rsidR="008210AC" w:rsidRDefault="008210AC" w:rsidP="008210AC">
      <w:pPr>
        <w:pStyle w:val="BodyText"/>
        <w:spacing w:before="10"/>
        <w:rPr>
          <w:b/>
          <w:sz w:val="21"/>
        </w:rPr>
      </w:pPr>
    </w:p>
    <w:p w:rsidR="008210AC" w:rsidRDefault="008210AC" w:rsidP="008210AC">
      <w:pPr>
        <w:pStyle w:val="BodyText"/>
        <w:spacing w:before="1"/>
        <w:ind w:left="160" w:right="549"/>
      </w:pPr>
      <w:r>
        <w:rPr>
          <w:u w:val="single"/>
        </w:rPr>
        <w:t>Section 11.</w:t>
      </w:r>
      <w:r>
        <w:t xml:space="preserve"> The following revenues are expected to be available in the Powell Bill Fund for the Fiscal Year 2019-2020:</w:t>
      </w:r>
    </w:p>
    <w:p w:rsidR="008210AC" w:rsidRDefault="008210AC" w:rsidP="008210AC">
      <w:pPr>
        <w:pStyle w:val="BodyText"/>
      </w:pPr>
    </w:p>
    <w:p w:rsidR="008210AC" w:rsidRDefault="008210AC" w:rsidP="008210AC">
      <w:pPr>
        <w:pStyle w:val="BodyText"/>
        <w:tabs>
          <w:tab w:val="left" w:pos="5921"/>
          <w:tab w:val="left" w:pos="6641"/>
        </w:tabs>
        <w:ind w:left="160"/>
      </w:pPr>
      <w:r>
        <w:t>State Powell</w:t>
      </w:r>
      <w:r>
        <w:rPr>
          <w:spacing w:val="-6"/>
        </w:rPr>
        <w:t xml:space="preserve"> </w:t>
      </w:r>
      <w:r>
        <w:t>Bill</w:t>
      </w:r>
      <w:r>
        <w:rPr>
          <w:spacing w:val="-1"/>
        </w:rPr>
        <w:t xml:space="preserve"> </w:t>
      </w:r>
      <w:r>
        <w:t>Allocation</w:t>
      </w:r>
      <w:r>
        <w:tab/>
        <w:t>$</w:t>
      </w:r>
      <w:r>
        <w:tab/>
        <w:t>195,313</w:t>
      </w:r>
    </w:p>
    <w:p w:rsidR="008210AC" w:rsidRDefault="008210AC" w:rsidP="008210AC">
      <w:pPr>
        <w:pStyle w:val="BodyText"/>
        <w:rPr>
          <w:sz w:val="16"/>
        </w:rPr>
      </w:pPr>
      <w:r>
        <w:rPr>
          <w:noProof/>
          <w:sz w:val="22"/>
          <w:lang w:bidi="ar-SA"/>
        </w:rPr>
        <mc:AlternateContent>
          <mc:Choice Requires="wpg">
            <w:drawing>
              <wp:anchor distT="0" distB="0" distL="0" distR="0" simplePos="0" relativeHeight="251661312" behindDoc="1" locked="0" layoutInCell="1" allowOverlap="1">
                <wp:simplePos x="0" y="0"/>
                <wp:positionH relativeFrom="page">
                  <wp:posOffset>914400</wp:posOffset>
                </wp:positionH>
                <wp:positionV relativeFrom="paragraph">
                  <wp:posOffset>149225</wp:posOffset>
                </wp:positionV>
                <wp:extent cx="5911850" cy="9525"/>
                <wp:effectExtent l="9525" t="8255" r="12700" b="127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9525"/>
                          <a:chOff x="1440" y="235"/>
                          <a:chExt cx="9310" cy="15"/>
                        </a:xfrm>
                      </wpg:grpSpPr>
                      <wps:wsp>
                        <wps:cNvPr id="5" name="Line 9"/>
                        <wps:cNvCnPr>
                          <a:cxnSpLocks noChangeShapeType="1"/>
                        </wps:cNvCnPr>
                        <wps:spPr bwMode="auto">
                          <a:xfrm>
                            <a:off x="1440" y="243"/>
                            <a:ext cx="514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6592" y="243"/>
                            <a:ext cx="41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B32D3" id="Group 4" o:spid="_x0000_s1026" style="position:absolute;margin-left:1in;margin-top:11.75pt;width:465.5pt;height:.75pt;z-index:-251655168;mso-wrap-distance-left:0;mso-wrap-distance-right:0;mso-position-horizontal-relative:page" coordorigin="1440,235" coordsize="9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">
                <v:line id="Line 9" o:spid="_x0000_s1027" style="position:absolute;visibility:visible;mso-wrap-style:square" from="1440,243" to="658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10" o:spid="_x0000_s1028" style="position:absolute;visibility:visible;mso-wrap-style:square" from="6592,243" to="107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wrap type="topAndBottom" anchorx="page"/>
              </v:group>
            </w:pict>
          </mc:Fallback>
        </mc:AlternateContent>
      </w:r>
    </w:p>
    <w:p w:rsidR="008210AC" w:rsidRDefault="008210AC" w:rsidP="008210AC">
      <w:pPr>
        <w:pStyle w:val="Heading1"/>
        <w:tabs>
          <w:tab w:val="left" w:pos="6641"/>
        </w:tabs>
      </w:pPr>
      <w:r>
        <w:t>$</w:t>
      </w:r>
      <w:r>
        <w:tab/>
        <w:t>195,313</w:t>
      </w:r>
    </w:p>
    <w:p w:rsidR="008210AC" w:rsidRDefault="008210AC" w:rsidP="008210AC">
      <w:pPr>
        <w:pStyle w:val="BodyText"/>
        <w:rPr>
          <w:b/>
        </w:rPr>
      </w:pPr>
    </w:p>
    <w:p w:rsidR="008210AC" w:rsidRDefault="008210AC" w:rsidP="008210AC">
      <w:pPr>
        <w:pStyle w:val="BodyText"/>
        <w:ind w:left="160" w:right="715"/>
      </w:pPr>
      <w:r>
        <w:rPr>
          <w:u w:val="single"/>
        </w:rPr>
        <w:t>Section 12.</w:t>
      </w:r>
      <w:r>
        <w:t xml:space="preserve"> The following amount is hereby appropriated in the Powell Bill Fund for the Fiscal Year 2019-2020 in accordance with the established chart of accounts:</w:t>
      </w:r>
    </w:p>
    <w:p w:rsidR="008210AC" w:rsidRDefault="008210AC" w:rsidP="008210AC">
      <w:pPr>
        <w:pStyle w:val="BodyText"/>
        <w:spacing w:before="6"/>
        <w:rPr>
          <w:sz w:val="25"/>
        </w:rPr>
      </w:pPr>
    </w:p>
    <w:tbl>
      <w:tblPr>
        <w:tblW w:w="0" w:type="auto"/>
        <w:tblInd w:w="167" w:type="dxa"/>
        <w:tblLayout w:type="fixed"/>
        <w:tblCellMar>
          <w:left w:w="0" w:type="dxa"/>
          <w:right w:w="0" w:type="dxa"/>
        </w:tblCellMar>
        <w:tblLook w:val="01E0" w:firstRow="1" w:lastRow="1" w:firstColumn="1" w:lastColumn="1" w:noHBand="0" w:noVBand="0"/>
      </w:tblPr>
      <w:tblGrid>
        <w:gridCol w:w="3676"/>
        <w:gridCol w:w="5630"/>
      </w:tblGrid>
      <w:tr w:rsidR="008210AC" w:rsidTr="008210AC">
        <w:trPr>
          <w:trHeight w:val="244"/>
        </w:trPr>
        <w:tc>
          <w:tcPr>
            <w:tcW w:w="3676" w:type="dxa"/>
          </w:tcPr>
          <w:p w:rsidR="008210AC" w:rsidRDefault="008210AC" w:rsidP="008210AC">
            <w:pPr>
              <w:pStyle w:val="TableParagraph"/>
              <w:spacing w:line="225" w:lineRule="exact"/>
            </w:pPr>
            <w:r>
              <w:t>Debt Service</w:t>
            </w:r>
          </w:p>
        </w:tc>
        <w:tc>
          <w:tcPr>
            <w:tcW w:w="5630" w:type="dxa"/>
          </w:tcPr>
          <w:p w:rsidR="008210AC" w:rsidRDefault="008210AC" w:rsidP="008210AC">
            <w:pPr>
              <w:pStyle w:val="TableParagraph"/>
              <w:tabs>
                <w:tab w:val="left" w:pos="719"/>
              </w:tabs>
              <w:spacing w:line="225" w:lineRule="exact"/>
              <w:ind w:right="2097"/>
              <w:jc w:val="right"/>
            </w:pPr>
            <w:r>
              <w:t>$</w:t>
            </w:r>
            <w:r>
              <w:tab/>
            </w:r>
            <w:r>
              <w:rPr>
                <w:spacing w:val="-1"/>
              </w:rPr>
              <w:t>100,814</w:t>
            </w:r>
          </w:p>
        </w:tc>
      </w:tr>
      <w:tr w:rsidR="008210AC" w:rsidTr="008210AC">
        <w:trPr>
          <w:trHeight w:val="483"/>
        </w:trPr>
        <w:tc>
          <w:tcPr>
            <w:tcW w:w="3676" w:type="dxa"/>
            <w:tcBorders>
              <w:bottom w:val="single" w:sz="6" w:space="0" w:color="000000"/>
            </w:tcBorders>
          </w:tcPr>
          <w:p w:rsidR="008210AC" w:rsidRDefault="008210AC" w:rsidP="008210AC">
            <w:pPr>
              <w:pStyle w:val="TableParagraph"/>
            </w:pPr>
            <w:r>
              <w:t>Street Operations</w:t>
            </w:r>
          </w:p>
        </w:tc>
        <w:tc>
          <w:tcPr>
            <w:tcW w:w="5630" w:type="dxa"/>
            <w:tcBorders>
              <w:bottom w:val="single" w:sz="6" w:space="0" w:color="000000"/>
            </w:tcBorders>
          </w:tcPr>
          <w:p w:rsidR="008210AC" w:rsidRDefault="008210AC" w:rsidP="008210AC">
            <w:pPr>
              <w:pStyle w:val="TableParagraph"/>
              <w:ind w:right="2210"/>
              <w:jc w:val="right"/>
            </w:pPr>
            <w:r>
              <w:t>94,499</w:t>
            </w:r>
          </w:p>
        </w:tc>
      </w:tr>
      <w:tr w:rsidR="008210AC" w:rsidTr="008210AC">
        <w:trPr>
          <w:trHeight w:val="284"/>
        </w:trPr>
        <w:tc>
          <w:tcPr>
            <w:tcW w:w="3676" w:type="dxa"/>
            <w:tcBorders>
              <w:top w:val="single" w:sz="6" w:space="0" w:color="000000"/>
            </w:tcBorders>
          </w:tcPr>
          <w:p w:rsidR="008210AC" w:rsidRDefault="008210AC" w:rsidP="008210AC">
            <w:pPr>
              <w:pStyle w:val="TableParagraph"/>
              <w:spacing w:line="240" w:lineRule="auto"/>
              <w:rPr>
                <w:rFonts w:ascii="Times New Roman"/>
                <w:sz w:val="20"/>
              </w:rPr>
            </w:pPr>
          </w:p>
        </w:tc>
        <w:tc>
          <w:tcPr>
            <w:tcW w:w="5630" w:type="dxa"/>
            <w:tcBorders>
              <w:top w:val="single" w:sz="6" w:space="0" w:color="000000"/>
            </w:tcBorders>
          </w:tcPr>
          <w:p w:rsidR="008210AC" w:rsidRDefault="008210AC" w:rsidP="008210AC">
            <w:pPr>
              <w:pStyle w:val="TableParagraph"/>
              <w:tabs>
                <w:tab w:val="left" w:pos="719"/>
              </w:tabs>
              <w:spacing w:before="19" w:line="245" w:lineRule="exact"/>
              <w:ind w:right="2097"/>
              <w:jc w:val="right"/>
              <w:rPr>
                <w:b/>
              </w:rPr>
            </w:pPr>
            <w:r>
              <w:rPr>
                <w:b/>
              </w:rPr>
              <w:t>$</w:t>
            </w:r>
            <w:r>
              <w:rPr>
                <w:b/>
              </w:rPr>
              <w:tab/>
            </w:r>
            <w:r>
              <w:rPr>
                <w:b/>
                <w:spacing w:val="-1"/>
              </w:rPr>
              <w:t>195,313</w:t>
            </w:r>
          </w:p>
        </w:tc>
      </w:tr>
    </w:tbl>
    <w:p w:rsidR="008210AC" w:rsidRDefault="008210AC" w:rsidP="008210AC">
      <w:pPr>
        <w:pStyle w:val="BodyText"/>
        <w:spacing w:before="4"/>
      </w:pPr>
    </w:p>
    <w:p w:rsidR="008210AC" w:rsidRDefault="008210AC" w:rsidP="008210AC">
      <w:pPr>
        <w:pStyle w:val="BodyText"/>
        <w:ind w:left="160" w:right="113"/>
        <w:jc w:val="both"/>
      </w:pPr>
      <w:r>
        <w:rPr>
          <w:u w:val="single"/>
        </w:rPr>
        <w:t>Section 13.</w:t>
      </w:r>
      <w:r>
        <w:t xml:space="preserve"> There is hereby levied a tax rate of forty-five ($.45) per one hundred dollars ($100) valuation of</w:t>
      </w:r>
      <w:r>
        <w:rPr>
          <w:spacing w:val="-3"/>
        </w:rPr>
        <w:t xml:space="preserve"> </w:t>
      </w:r>
      <w:r>
        <w:t>property</w:t>
      </w:r>
      <w:r>
        <w:rPr>
          <w:spacing w:val="-2"/>
        </w:rPr>
        <w:t xml:space="preserve"> </w:t>
      </w:r>
      <w:r>
        <w:t>taxes</w:t>
      </w:r>
      <w:r>
        <w:rPr>
          <w:spacing w:val="-5"/>
        </w:rPr>
        <w:t xml:space="preserve"> </w:t>
      </w:r>
      <w:r>
        <w:t>as</w:t>
      </w:r>
      <w:r>
        <w:rPr>
          <w:spacing w:val="-6"/>
        </w:rPr>
        <w:t xml:space="preserve"> </w:t>
      </w:r>
      <w:r>
        <w:t>of</w:t>
      </w:r>
      <w:r>
        <w:rPr>
          <w:spacing w:val="-3"/>
        </w:rPr>
        <w:t xml:space="preserve"> </w:t>
      </w:r>
      <w:r>
        <w:t>January</w:t>
      </w:r>
      <w:r>
        <w:rPr>
          <w:spacing w:val="-4"/>
        </w:rPr>
        <w:t xml:space="preserve"> </w:t>
      </w:r>
      <w:r>
        <w:t>1,</w:t>
      </w:r>
      <w:r>
        <w:rPr>
          <w:spacing w:val="-5"/>
        </w:rPr>
        <w:t xml:space="preserve"> </w:t>
      </w:r>
      <w:r>
        <w:t>2019</w:t>
      </w:r>
      <w:r>
        <w:rPr>
          <w:spacing w:val="-4"/>
        </w:rPr>
        <w:t xml:space="preserve"> </w:t>
      </w:r>
      <w:r>
        <w:t>for</w:t>
      </w:r>
      <w:r>
        <w:rPr>
          <w:spacing w:val="-6"/>
        </w:rPr>
        <w:t xml:space="preserve"> </w:t>
      </w:r>
      <w:r>
        <w:t>the</w:t>
      </w:r>
      <w:r>
        <w:rPr>
          <w:spacing w:val="-6"/>
        </w:rPr>
        <w:t xml:space="preserve"> </w:t>
      </w:r>
      <w:r>
        <w:t>purpose</w:t>
      </w:r>
      <w:r>
        <w:rPr>
          <w:spacing w:val="-4"/>
        </w:rPr>
        <w:t xml:space="preserve"> </w:t>
      </w:r>
      <w:r>
        <w:t>of</w:t>
      </w:r>
      <w:r>
        <w:rPr>
          <w:spacing w:val="-3"/>
        </w:rPr>
        <w:t xml:space="preserve"> </w:t>
      </w:r>
      <w:r>
        <w:t>raising</w:t>
      </w:r>
      <w:r>
        <w:rPr>
          <w:spacing w:val="-3"/>
        </w:rPr>
        <w:t xml:space="preserve"> </w:t>
      </w:r>
      <w:r>
        <w:t>the</w:t>
      </w:r>
      <w:r>
        <w:rPr>
          <w:spacing w:val="-6"/>
        </w:rPr>
        <w:t xml:space="preserve"> </w:t>
      </w:r>
      <w:r>
        <w:t>revenue</w:t>
      </w:r>
      <w:r>
        <w:rPr>
          <w:spacing w:val="-3"/>
        </w:rPr>
        <w:t xml:space="preserve"> </w:t>
      </w:r>
      <w:r>
        <w:t>listed</w:t>
      </w:r>
      <w:r>
        <w:rPr>
          <w:spacing w:val="-3"/>
        </w:rPr>
        <w:t xml:space="preserve"> </w:t>
      </w:r>
      <w:r>
        <w:t>'Ad</w:t>
      </w:r>
      <w:r>
        <w:rPr>
          <w:spacing w:val="-4"/>
        </w:rPr>
        <w:t xml:space="preserve"> </w:t>
      </w:r>
      <w:r>
        <w:t>Valorem</w:t>
      </w:r>
      <w:r>
        <w:rPr>
          <w:spacing w:val="-5"/>
        </w:rPr>
        <w:t xml:space="preserve"> </w:t>
      </w:r>
      <w:r>
        <w:t>Taxes'</w:t>
      </w:r>
      <w:r>
        <w:rPr>
          <w:spacing w:val="-3"/>
        </w:rPr>
        <w:t xml:space="preserve"> </w:t>
      </w:r>
      <w:r>
        <w:t>in the</w:t>
      </w:r>
      <w:r>
        <w:rPr>
          <w:spacing w:val="-10"/>
        </w:rPr>
        <w:t xml:space="preserve"> </w:t>
      </w:r>
      <w:r>
        <w:t>General</w:t>
      </w:r>
      <w:r>
        <w:rPr>
          <w:spacing w:val="-10"/>
        </w:rPr>
        <w:t xml:space="preserve"> </w:t>
      </w:r>
      <w:r>
        <w:t>Fund.</w:t>
      </w:r>
      <w:r>
        <w:rPr>
          <w:spacing w:val="-11"/>
        </w:rPr>
        <w:t xml:space="preserve"> </w:t>
      </w:r>
      <w:r>
        <w:t>This</w:t>
      </w:r>
      <w:r>
        <w:rPr>
          <w:spacing w:val="-10"/>
        </w:rPr>
        <w:t xml:space="preserve"> </w:t>
      </w:r>
      <w:r>
        <w:t>rate</w:t>
      </w:r>
      <w:r>
        <w:rPr>
          <w:spacing w:val="-12"/>
        </w:rPr>
        <w:t xml:space="preserve"> </w:t>
      </w:r>
      <w:r>
        <w:t>is</w:t>
      </w:r>
      <w:r>
        <w:rPr>
          <w:spacing w:val="-10"/>
        </w:rPr>
        <w:t xml:space="preserve"> </w:t>
      </w:r>
      <w:r>
        <w:t>on</w:t>
      </w:r>
      <w:r>
        <w:rPr>
          <w:spacing w:val="-10"/>
        </w:rPr>
        <w:t xml:space="preserve"> </w:t>
      </w:r>
      <w:r>
        <w:t>a</w:t>
      </w:r>
      <w:r>
        <w:rPr>
          <w:spacing w:val="-11"/>
        </w:rPr>
        <w:t xml:space="preserve"> </w:t>
      </w:r>
      <w:r>
        <w:t>total</w:t>
      </w:r>
      <w:r>
        <w:rPr>
          <w:spacing w:val="-12"/>
        </w:rPr>
        <w:t xml:space="preserve"> </w:t>
      </w:r>
      <w:r>
        <w:t>valuation</w:t>
      </w:r>
      <w:r>
        <w:rPr>
          <w:spacing w:val="-11"/>
        </w:rPr>
        <w:t xml:space="preserve"> </w:t>
      </w:r>
      <w:r>
        <w:t>of</w:t>
      </w:r>
      <w:r>
        <w:rPr>
          <w:spacing w:val="-12"/>
        </w:rPr>
        <w:t xml:space="preserve"> </w:t>
      </w:r>
      <w:r>
        <w:t>property</w:t>
      </w:r>
      <w:r>
        <w:rPr>
          <w:spacing w:val="-7"/>
        </w:rPr>
        <w:t xml:space="preserve"> </w:t>
      </w:r>
      <w:r>
        <w:t>for</w:t>
      </w:r>
      <w:r>
        <w:rPr>
          <w:spacing w:val="-10"/>
        </w:rPr>
        <w:t xml:space="preserve"> </w:t>
      </w:r>
      <w:r>
        <w:t>the</w:t>
      </w:r>
      <w:r>
        <w:rPr>
          <w:spacing w:val="-9"/>
        </w:rPr>
        <w:t xml:space="preserve"> </w:t>
      </w:r>
      <w:r>
        <w:t>purposes</w:t>
      </w:r>
      <w:r>
        <w:rPr>
          <w:spacing w:val="-12"/>
        </w:rPr>
        <w:t xml:space="preserve"> </w:t>
      </w:r>
      <w:r>
        <w:t>of</w:t>
      </w:r>
      <w:r>
        <w:rPr>
          <w:spacing w:val="-10"/>
        </w:rPr>
        <w:t xml:space="preserve"> </w:t>
      </w:r>
      <w:r>
        <w:t>taxation</w:t>
      </w:r>
      <w:r>
        <w:rPr>
          <w:spacing w:val="-12"/>
        </w:rPr>
        <w:t xml:space="preserve"> </w:t>
      </w:r>
      <w:r>
        <w:t>of</w:t>
      </w:r>
      <w:r>
        <w:rPr>
          <w:spacing w:val="-13"/>
        </w:rPr>
        <w:t xml:space="preserve"> </w:t>
      </w:r>
      <w:r>
        <w:t>$366,554,763 and</w:t>
      </w:r>
      <w:r>
        <w:rPr>
          <w:spacing w:val="-6"/>
        </w:rPr>
        <w:t xml:space="preserve"> </w:t>
      </w:r>
      <w:r>
        <w:t>an</w:t>
      </w:r>
      <w:r>
        <w:rPr>
          <w:spacing w:val="-6"/>
        </w:rPr>
        <w:t xml:space="preserve"> </w:t>
      </w:r>
      <w:r>
        <w:t>estimated</w:t>
      </w:r>
      <w:r>
        <w:rPr>
          <w:spacing w:val="-5"/>
        </w:rPr>
        <w:t xml:space="preserve"> </w:t>
      </w:r>
      <w:r>
        <w:t>rate</w:t>
      </w:r>
      <w:r>
        <w:rPr>
          <w:spacing w:val="-7"/>
        </w:rPr>
        <w:t xml:space="preserve"> </w:t>
      </w:r>
      <w:r>
        <w:t>of</w:t>
      </w:r>
      <w:r>
        <w:rPr>
          <w:spacing w:val="-6"/>
        </w:rPr>
        <w:t xml:space="preserve"> </w:t>
      </w:r>
      <w:r>
        <w:t>collection</w:t>
      </w:r>
      <w:r>
        <w:rPr>
          <w:spacing w:val="-8"/>
        </w:rPr>
        <w:t xml:space="preserve"> </w:t>
      </w:r>
      <w:r>
        <w:t>of</w:t>
      </w:r>
      <w:r>
        <w:rPr>
          <w:spacing w:val="-8"/>
        </w:rPr>
        <w:t xml:space="preserve"> </w:t>
      </w:r>
      <w:r>
        <w:t>97%.</w:t>
      </w:r>
      <w:r>
        <w:rPr>
          <w:spacing w:val="-7"/>
        </w:rPr>
        <w:t xml:space="preserve"> </w:t>
      </w:r>
      <w:r>
        <w:t>The</w:t>
      </w:r>
      <w:r>
        <w:rPr>
          <w:spacing w:val="-8"/>
        </w:rPr>
        <w:t xml:space="preserve"> </w:t>
      </w:r>
      <w:r>
        <w:t>estimated</w:t>
      </w:r>
      <w:r>
        <w:rPr>
          <w:spacing w:val="-6"/>
        </w:rPr>
        <w:t xml:space="preserve"> </w:t>
      </w:r>
      <w:r>
        <w:t>rate</w:t>
      </w:r>
      <w:r>
        <w:rPr>
          <w:spacing w:val="-6"/>
        </w:rPr>
        <w:t xml:space="preserve"> </w:t>
      </w:r>
      <w:r>
        <w:t>of</w:t>
      </w:r>
      <w:r>
        <w:rPr>
          <w:spacing w:val="-6"/>
        </w:rPr>
        <w:t xml:space="preserve"> </w:t>
      </w:r>
      <w:r>
        <w:t>collection</w:t>
      </w:r>
      <w:r>
        <w:rPr>
          <w:spacing w:val="-5"/>
        </w:rPr>
        <w:t xml:space="preserve"> </w:t>
      </w:r>
      <w:r>
        <w:t>is</w:t>
      </w:r>
      <w:r>
        <w:rPr>
          <w:spacing w:val="-6"/>
        </w:rPr>
        <w:t xml:space="preserve"> </w:t>
      </w:r>
      <w:r>
        <w:t>based</w:t>
      </w:r>
      <w:r>
        <w:rPr>
          <w:spacing w:val="-6"/>
        </w:rPr>
        <w:t xml:space="preserve"> </w:t>
      </w:r>
      <w:r>
        <w:t>off</w:t>
      </w:r>
      <w:r>
        <w:rPr>
          <w:spacing w:val="-7"/>
        </w:rPr>
        <w:t xml:space="preserve"> </w:t>
      </w:r>
      <w:r>
        <w:t>of</w:t>
      </w:r>
      <w:r>
        <w:rPr>
          <w:spacing w:val="-8"/>
        </w:rPr>
        <w:t xml:space="preserve"> </w:t>
      </w:r>
      <w:r>
        <w:t>the</w:t>
      </w:r>
      <w:r>
        <w:rPr>
          <w:spacing w:val="-5"/>
        </w:rPr>
        <w:t xml:space="preserve"> </w:t>
      </w:r>
      <w:r>
        <w:t>fiscal</w:t>
      </w:r>
      <w:r>
        <w:rPr>
          <w:spacing w:val="-8"/>
        </w:rPr>
        <w:t xml:space="preserve"> </w:t>
      </w:r>
      <w:r>
        <w:t>2018- 2019 collection rate of 97%. The motor vehicle tag fee per G.S. 20.97 is set at $20 per</w:t>
      </w:r>
      <w:r>
        <w:rPr>
          <w:spacing w:val="-21"/>
        </w:rPr>
        <w:t xml:space="preserve"> </w:t>
      </w:r>
      <w:r>
        <w:t>vehicle.</w:t>
      </w:r>
    </w:p>
    <w:p w:rsidR="008210AC" w:rsidRDefault="008210AC" w:rsidP="008210AC">
      <w:pPr>
        <w:pStyle w:val="BodyText"/>
        <w:spacing w:before="11"/>
        <w:rPr>
          <w:sz w:val="21"/>
        </w:rPr>
      </w:pPr>
    </w:p>
    <w:p w:rsidR="008210AC" w:rsidRDefault="008210AC" w:rsidP="008210AC">
      <w:pPr>
        <w:pStyle w:val="BodyText"/>
        <w:ind w:left="160" w:right="111"/>
        <w:jc w:val="both"/>
      </w:pPr>
      <w:r>
        <w:rPr>
          <w:u w:val="single"/>
        </w:rPr>
        <w:t>Section 14.</w:t>
      </w:r>
      <w:r>
        <w:t xml:space="preserve"> A fee of $11.00 per month per roll-out cart (residential, commercial or industrial) within the City</w:t>
      </w:r>
      <w:r>
        <w:rPr>
          <w:spacing w:val="-5"/>
        </w:rPr>
        <w:t xml:space="preserve"> </w:t>
      </w:r>
      <w:r>
        <w:t>when</w:t>
      </w:r>
      <w:r>
        <w:rPr>
          <w:spacing w:val="-5"/>
        </w:rPr>
        <w:t xml:space="preserve"> </w:t>
      </w:r>
      <w:r>
        <w:t>the</w:t>
      </w:r>
      <w:r>
        <w:rPr>
          <w:spacing w:val="-6"/>
        </w:rPr>
        <w:t xml:space="preserve"> </w:t>
      </w:r>
      <w:r>
        <w:t>City</w:t>
      </w:r>
      <w:r>
        <w:rPr>
          <w:spacing w:val="-4"/>
        </w:rPr>
        <w:t xml:space="preserve"> </w:t>
      </w:r>
      <w:r>
        <w:t>provides</w:t>
      </w:r>
      <w:r>
        <w:rPr>
          <w:spacing w:val="-5"/>
        </w:rPr>
        <w:t xml:space="preserve"> </w:t>
      </w:r>
      <w:r>
        <w:t>garbage/trash</w:t>
      </w:r>
      <w:r>
        <w:rPr>
          <w:spacing w:val="-3"/>
        </w:rPr>
        <w:t xml:space="preserve"> </w:t>
      </w:r>
      <w:r>
        <w:t>collection</w:t>
      </w:r>
      <w:r>
        <w:rPr>
          <w:spacing w:val="-5"/>
        </w:rPr>
        <w:t xml:space="preserve"> </w:t>
      </w:r>
      <w:r>
        <w:t>service</w:t>
      </w:r>
      <w:r>
        <w:rPr>
          <w:spacing w:val="-3"/>
        </w:rPr>
        <w:t xml:space="preserve"> </w:t>
      </w:r>
      <w:r>
        <w:t>shall</w:t>
      </w:r>
      <w:r>
        <w:rPr>
          <w:spacing w:val="-6"/>
        </w:rPr>
        <w:t xml:space="preserve"> </w:t>
      </w:r>
      <w:r>
        <w:t>be</w:t>
      </w:r>
      <w:r>
        <w:rPr>
          <w:spacing w:val="-5"/>
        </w:rPr>
        <w:t xml:space="preserve"> </w:t>
      </w:r>
      <w:r>
        <w:t>charged</w:t>
      </w:r>
      <w:r>
        <w:rPr>
          <w:spacing w:val="-2"/>
        </w:rPr>
        <w:t xml:space="preserve"> </w:t>
      </w:r>
      <w:r>
        <w:t>and</w:t>
      </w:r>
      <w:r>
        <w:rPr>
          <w:spacing w:val="-5"/>
        </w:rPr>
        <w:t xml:space="preserve"> </w:t>
      </w:r>
      <w:r>
        <w:t>collected</w:t>
      </w:r>
      <w:r>
        <w:rPr>
          <w:spacing w:val="-3"/>
        </w:rPr>
        <w:t xml:space="preserve"> </w:t>
      </w:r>
      <w:r>
        <w:t>as</w:t>
      </w:r>
      <w:r>
        <w:rPr>
          <w:spacing w:val="-5"/>
        </w:rPr>
        <w:t xml:space="preserve"> </w:t>
      </w:r>
      <w:r>
        <w:t>an</w:t>
      </w:r>
      <w:r>
        <w:rPr>
          <w:spacing w:val="-4"/>
        </w:rPr>
        <w:t xml:space="preserve"> </w:t>
      </w:r>
      <w:r>
        <w:t>addition to the utility bill for the purpose of Landfill and Disposal</w:t>
      </w:r>
      <w:r>
        <w:rPr>
          <w:spacing w:val="-8"/>
        </w:rPr>
        <w:t xml:space="preserve"> </w:t>
      </w:r>
      <w:r>
        <w:t>fees.</w:t>
      </w:r>
    </w:p>
    <w:p w:rsidR="008210AC" w:rsidRDefault="008210AC" w:rsidP="008210AC">
      <w:pPr>
        <w:pStyle w:val="BodyText"/>
        <w:spacing w:before="2"/>
      </w:pPr>
    </w:p>
    <w:p w:rsidR="008210AC" w:rsidRDefault="008210AC" w:rsidP="008210AC">
      <w:pPr>
        <w:pStyle w:val="BodyText"/>
        <w:ind w:left="160" w:right="114"/>
        <w:jc w:val="both"/>
      </w:pPr>
      <w:r>
        <w:rPr>
          <w:u w:val="single"/>
        </w:rPr>
        <w:t>Section 15.</w:t>
      </w:r>
      <w:r>
        <w:t xml:space="preserve"> A fee of $10.00 per month per roll-out can (commercial only) within the City when the City provides garbage/trash collection services shall be charged and collected for twice-weekly collection as an addition to the utility bill for the purpose of Landfill and disposal fees.</w:t>
      </w:r>
    </w:p>
    <w:p w:rsidR="008210AC" w:rsidRDefault="008210AC" w:rsidP="008210AC">
      <w:pPr>
        <w:pStyle w:val="BodyText"/>
        <w:spacing w:before="1"/>
      </w:pPr>
    </w:p>
    <w:p w:rsidR="008210AC" w:rsidRDefault="008210AC" w:rsidP="008210AC">
      <w:pPr>
        <w:pStyle w:val="BodyText"/>
        <w:ind w:left="160"/>
        <w:jc w:val="both"/>
      </w:pPr>
      <w:r>
        <w:rPr>
          <w:u w:val="single"/>
        </w:rPr>
        <w:t>Section 16.</w:t>
      </w:r>
      <w:r>
        <w:t xml:space="preserve"> A fee of $22.00 per month per roll-out can shall be charged for non-recycling customers.</w:t>
      </w:r>
    </w:p>
    <w:p w:rsidR="008210AC" w:rsidRDefault="008210AC" w:rsidP="008210AC">
      <w:pPr>
        <w:pStyle w:val="BodyText"/>
        <w:spacing w:before="3"/>
        <w:rPr>
          <w:sz w:val="17"/>
        </w:rPr>
      </w:pPr>
    </w:p>
    <w:p w:rsidR="008210AC" w:rsidRDefault="008210AC" w:rsidP="008210AC">
      <w:pPr>
        <w:pStyle w:val="BodyText"/>
        <w:spacing w:before="56"/>
        <w:ind w:left="160" w:right="113"/>
        <w:jc w:val="both"/>
      </w:pPr>
      <w:r>
        <w:rPr>
          <w:u w:val="single"/>
        </w:rPr>
        <w:t>Section 17.</w:t>
      </w:r>
      <w:r>
        <w:t xml:space="preserve"> A fee of $4.00 per month per roll-out cart within the City when the City provides Recycling Collection</w:t>
      </w:r>
      <w:r>
        <w:rPr>
          <w:spacing w:val="-14"/>
        </w:rPr>
        <w:t xml:space="preserve"> </w:t>
      </w:r>
      <w:r>
        <w:t>service</w:t>
      </w:r>
      <w:r>
        <w:rPr>
          <w:spacing w:val="-12"/>
        </w:rPr>
        <w:t xml:space="preserve"> </w:t>
      </w:r>
      <w:r>
        <w:t>shall</w:t>
      </w:r>
      <w:r>
        <w:rPr>
          <w:spacing w:val="-13"/>
        </w:rPr>
        <w:t xml:space="preserve"> </w:t>
      </w:r>
      <w:r>
        <w:t>be</w:t>
      </w:r>
      <w:r>
        <w:rPr>
          <w:spacing w:val="-11"/>
        </w:rPr>
        <w:t xml:space="preserve"> </w:t>
      </w:r>
      <w:r>
        <w:t>charged</w:t>
      </w:r>
      <w:r>
        <w:rPr>
          <w:spacing w:val="-13"/>
        </w:rPr>
        <w:t xml:space="preserve"> </w:t>
      </w:r>
      <w:r>
        <w:t>and</w:t>
      </w:r>
      <w:r>
        <w:rPr>
          <w:spacing w:val="-14"/>
        </w:rPr>
        <w:t xml:space="preserve"> </w:t>
      </w:r>
      <w:r>
        <w:t>collected</w:t>
      </w:r>
      <w:r>
        <w:rPr>
          <w:spacing w:val="-12"/>
        </w:rPr>
        <w:t xml:space="preserve"> </w:t>
      </w:r>
      <w:r>
        <w:t>as</w:t>
      </w:r>
      <w:r>
        <w:rPr>
          <w:spacing w:val="-13"/>
        </w:rPr>
        <w:t xml:space="preserve"> </w:t>
      </w:r>
      <w:r>
        <w:t>an</w:t>
      </w:r>
      <w:r>
        <w:rPr>
          <w:spacing w:val="-14"/>
        </w:rPr>
        <w:t xml:space="preserve"> </w:t>
      </w:r>
      <w:r>
        <w:t>addition</w:t>
      </w:r>
      <w:r>
        <w:rPr>
          <w:spacing w:val="-14"/>
        </w:rPr>
        <w:t xml:space="preserve"> </w:t>
      </w:r>
      <w:r>
        <w:t>to</w:t>
      </w:r>
      <w:r>
        <w:rPr>
          <w:spacing w:val="-10"/>
        </w:rPr>
        <w:t xml:space="preserve"> </w:t>
      </w:r>
      <w:r>
        <w:t>the</w:t>
      </w:r>
      <w:r>
        <w:rPr>
          <w:spacing w:val="-13"/>
        </w:rPr>
        <w:t xml:space="preserve"> </w:t>
      </w:r>
      <w:r>
        <w:t>utility</w:t>
      </w:r>
      <w:r>
        <w:rPr>
          <w:spacing w:val="-12"/>
        </w:rPr>
        <w:t xml:space="preserve"> </w:t>
      </w:r>
      <w:r>
        <w:t>bill</w:t>
      </w:r>
      <w:r>
        <w:rPr>
          <w:spacing w:val="-12"/>
        </w:rPr>
        <w:t xml:space="preserve"> </w:t>
      </w:r>
      <w:r>
        <w:t>for</w:t>
      </w:r>
      <w:r>
        <w:rPr>
          <w:spacing w:val="-12"/>
        </w:rPr>
        <w:t xml:space="preserve"> </w:t>
      </w:r>
      <w:r>
        <w:t>the</w:t>
      </w:r>
      <w:r>
        <w:rPr>
          <w:spacing w:val="-13"/>
        </w:rPr>
        <w:t xml:space="preserve"> </w:t>
      </w:r>
      <w:r>
        <w:t>purpose</w:t>
      </w:r>
      <w:r>
        <w:rPr>
          <w:spacing w:val="-15"/>
        </w:rPr>
        <w:t xml:space="preserve"> </w:t>
      </w:r>
      <w:r>
        <w:t>of</w:t>
      </w:r>
      <w:r>
        <w:rPr>
          <w:spacing w:val="-12"/>
        </w:rPr>
        <w:t xml:space="preserve"> </w:t>
      </w:r>
      <w:r>
        <w:t>Disposal fees.</w:t>
      </w:r>
    </w:p>
    <w:p w:rsidR="008210AC" w:rsidRDefault="008210AC" w:rsidP="008210AC">
      <w:pPr>
        <w:jc w:val="both"/>
        <w:sectPr w:rsidR="008210AC">
          <w:pgSz w:w="12240" w:h="15840"/>
          <w:pgMar w:top="1400" w:right="1320" w:bottom="280" w:left="1280" w:header="720" w:footer="720" w:gutter="0"/>
          <w:cols w:space="720"/>
        </w:sectPr>
      </w:pPr>
    </w:p>
    <w:p w:rsidR="008210AC" w:rsidRDefault="008210AC" w:rsidP="008210AC">
      <w:pPr>
        <w:pStyle w:val="BodyText"/>
        <w:spacing w:before="39"/>
        <w:ind w:left="160" w:right="113"/>
        <w:jc w:val="both"/>
      </w:pPr>
      <w:r>
        <w:rPr>
          <w:u w:val="single"/>
        </w:rPr>
        <w:lastRenderedPageBreak/>
        <w:t>Section</w:t>
      </w:r>
      <w:r>
        <w:rPr>
          <w:spacing w:val="-9"/>
          <w:u w:val="single"/>
        </w:rPr>
        <w:t xml:space="preserve"> </w:t>
      </w:r>
      <w:r>
        <w:rPr>
          <w:u w:val="single"/>
        </w:rPr>
        <w:t>18.</w:t>
      </w:r>
      <w:r>
        <w:rPr>
          <w:spacing w:val="-5"/>
        </w:rPr>
        <w:t xml:space="preserve"> </w:t>
      </w:r>
      <w:r>
        <w:t>A</w:t>
      </w:r>
      <w:r>
        <w:rPr>
          <w:spacing w:val="-4"/>
        </w:rPr>
        <w:t xml:space="preserve"> </w:t>
      </w:r>
      <w:r>
        <w:t>fee</w:t>
      </w:r>
      <w:r>
        <w:rPr>
          <w:spacing w:val="-7"/>
        </w:rPr>
        <w:t xml:space="preserve"> </w:t>
      </w:r>
      <w:r>
        <w:t>of</w:t>
      </w:r>
      <w:r>
        <w:rPr>
          <w:spacing w:val="-6"/>
        </w:rPr>
        <w:t xml:space="preserve"> </w:t>
      </w:r>
      <w:r>
        <w:t>$10.00</w:t>
      </w:r>
      <w:r>
        <w:rPr>
          <w:spacing w:val="-7"/>
        </w:rPr>
        <w:t xml:space="preserve"> </w:t>
      </w:r>
      <w:r>
        <w:t>per</w:t>
      </w:r>
      <w:r>
        <w:rPr>
          <w:spacing w:val="-5"/>
        </w:rPr>
        <w:t xml:space="preserve"> </w:t>
      </w:r>
      <w:r>
        <w:t>month</w:t>
      </w:r>
      <w:r>
        <w:rPr>
          <w:spacing w:val="-4"/>
        </w:rPr>
        <w:t xml:space="preserve"> </w:t>
      </w:r>
      <w:r>
        <w:t>per</w:t>
      </w:r>
      <w:r>
        <w:rPr>
          <w:spacing w:val="-5"/>
        </w:rPr>
        <w:t xml:space="preserve"> </w:t>
      </w:r>
      <w:r>
        <w:t>residential/apartment</w:t>
      </w:r>
      <w:r>
        <w:rPr>
          <w:spacing w:val="-3"/>
        </w:rPr>
        <w:t xml:space="preserve"> </w:t>
      </w:r>
      <w:r>
        <w:t>unit</w:t>
      </w:r>
      <w:r>
        <w:rPr>
          <w:spacing w:val="-8"/>
        </w:rPr>
        <w:t xml:space="preserve"> </w:t>
      </w:r>
      <w:r>
        <w:t>within</w:t>
      </w:r>
      <w:r>
        <w:rPr>
          <w:spacing w:val="-5"/>
        </w:rPr>
        <w:t xml:space="preserve"> </w:t>
      </w:r>
      <w:r>
        <w:t>the</w:t>
      </w:r>
      <w:r>
        <w:rPr>
          <w:spacing w:val="-5"/>
        </w:rPr>
        <w:t xml:space="preserve"> </w:t>
      </w:r>
      <w:r>
        <w:t>City</w:t>
      </w:r>
      <w:r>
        <w:rPr>
          <w:spacing w:val="-3"/>
        </w:rPr>
        <w:t xml:space="preserve"> </w:t>
      </w:r>
      <w:r>
        <w:t>shall</w:t>
      </w:r>
      <w:r>
        <w:rPr>
          <w:spacing w:val="-4"/>
        </w:rPr>
        <w:t xml:space="preserve"> </w:t>
      </w:r>
      <w:r>
        <w:t>be</w:t>
      </w:r>
      <w:r>
        <w:rPr>
          <w:spacing w:val="-5"/>
        </w:rPr>
        <w:t xml:space="preserve"> </w:t>
      </w:r>
      <w:r>
        <w:t>charged</w:t>
      </w:r>
      <w:r>
        <w:rPr>
          <w:spacing w:val="-3"/>
        </w:rPr>
        <w:t xml:space="preserve"> </w:t>
      </w:r>
      <w:r>
        <w:t>and collected as an additional fee for bulk item, brush, and debris pickup if a solid waste and/or recycling fee is not</w:t>
      </w:r>
      <w:r>
        <w:rPr>
          <w:spacing w:val="-2"/>
        </w:rPr>
        <w:t xml:space="preserve"> </w:t>
      </w:r>
      <w:r>
        <w:t>charged.</w:t>
      </w:r>
    </w:p>
    <w:p w:rsidR="008210AC" w:rsidRDefault="008210AC" w:rsidP="008210AC">
      <w:pPr>
        <w:pStyle w:val="BodyText"/>
        <w:spacing w:before="11"/>
        <w:rPr>
          <w:sz w:val="21"/>
        </w:rPr>
      </w:pPr>
    </w:p>
    <w:p w:rsidR="008210AC" w:rsidRDefault="008210AC" w:rsidP="008210AC">
      <w:pPr>
        <w:pStyle w:val="BodyText"/>
        <w:ind w:left="160" w:right="114"/>
        <w:jc w:val="both"/>
      </w:pPr>
      <w:r>
        <w:rPr>
          <w:u w:val="single"/>
        </w:rPr>
        <w:t>Section</w:t>
      </w:r>
      <w:r>
        <w:rPr>
          <w:spacing w:val="-11"/>
          <w:u w:val="single"/>
        </w:rPr>
        <w:t xml:space="preserve"> </w:t>
      </w:r>
      <w:r>
        <w:rPr>
          <w:u w:val="single"/>
        </w:rPr>
        <w:t>19.</w:t>
      </w:r>
      <w:r>
        <w:rPr>
          <w:spacing w:val="-6"/>
        </w:rPr>
        <w:t xml:space="preserve"> </w:t>
      </w:r>
      <w:r>
        <w:t>A</w:t>
      </w:r>
      <w:r>
        <w:rPr>
          <w:spacing w:val="-7"/>
        </w:rPr>
        <w:t xml:space="preserve"> </w:t>
      </w:r>
      <w:r>
        <w:t>fee</w:t>
      </w:r>
      <w:r>
        <w:rPr>
          <w:spacing w:val="-7"/>
        </w:rPr>
        <w:t xml:space="preserve"> </w:t>
      </w:r>
      <w:r>
        <w:t>for</w:t>
      </w:r>
      <w:r>
        <w:rPr>
          <w:spacing w:val="-7"/>
        </w:rPr>
        <w:t xml:space="preserve"> </w:t>
      </w:r>
      <w:r>
        <w:t>Storm</w:t>
      </w:r>
      <w:r>
        <w:rPr>
          <w:spacing w:val="-7"/>
        </w:rPr>
        <w:t xml:space="preserve"> </w:t>
      </w:r>
      <w:r>
        <w:t>Water</w:t>
      </w:r>
      <w:r>
        <w:rPr>
          <w:spacing w:val="-10"/>
        </w:rPr>
        <w:t xml:space="preserve"> </w:t>
      </w:r>
      <w:r>
        <w:t>Management</w:t>
      </w:r>
      <w:r>
        <w:rPr>
          <w:spacing w:val="-7"/>
        </w:rPr>
        <w:t xml:space="preserve"> </w:t>
      </w:r>
      <w:r>
        <w:t>shall</w:t>
      </w:r>
      <w:r>
        <w:rPr>
          <w:spacing w:val="-7"/>
        </w:rPr>
        <w:t xml:space="preserve"> </w:t>
      </w:r>
      <w:r>
        <w:t>be</w:t>
      </w:r>
      <w:r>
        <w:rPr>
          <w:spacing w:val="-6"/>
        </w:rPr>
        <w:t xml:space="preserve"> </w:t>
      </w:r>
      <w:r>
        <w:t>charged</w:t>
      </w:r>
      <w:r>
        <w:rPr>
          <w:spacing w:val="-7"/>
        </w:rPr>
        <w:t xml:space="preserve"> </w:t>
      </w:r>
      <w:r>
        <w:t>and</w:t>
      </w:r>
      <w:r>
        <w:rPr>
          <w:spacing w:val="-8"/>
        </w:rPr>
        <w:t xml:space="preserve"> </w:t>
      </w:r>
      <w:r>
        <w:t>collected</w:t>
      </w:r>
      <w:r>
        <w:rPr>
          <w:spacing w:val="-8"/>
        </w:rPr>
        <w:t xml:space="preserve"> </w:t>
      </w:r>
      <w:r>
        <w:t>as</w:t>
      </w:r>
      <w:r>
        <w:rPr>
          <w:spacing w:val="-11"/>
        </w:rPr>
        <w:t xml:space="preserve"> </w:t>
      </w:r>
      <w:r>
        <w:t>an</w:t>
      </w:r>
      <w:r>
        <w:rPr>
          <w:spacing w:val="-8"/>
        </w:rPr>
        <w:t xml:space="preserve"> </w:t>
      </w:r>
      <w:r>
        <w:t>addition</w:t>
      </w:r>
      <w:r>
        <w:rPr>
          <w:spacing w:val="-8"/>
        </w:rPr>
        <w:t xml:space="preserve"> </w:t>
      </w:r>
      <w:r>
        <w:t>to</w:t>
      </w:r>
      <w:r>
        <w:rPr>
          <w:spacing w:val="-5"/>
        </w:rPr>
        <w:t xml:space="preserve"> </w:t>
      </w:r>
      <w:r>
        <w:t>the</w:t>
      </w:r>
      <w:r>
        <w:rPr>
          <w:spacing w:val="-7"/>
        </w:rPr>
        <w:t xml:space="preserve"> </w:t>
      </w:r>
      <w:r>
        <w:t>utility bill as follows: Residential - $3.07 / month , Commercial - $6.00 / month, Industrial - $12.00 /</w:t>
      </w:r>
      <w:r>
        <w:rPr>
          <w:spacing w:val="-20"/>
        </w:rPr>
        <w:t xml:space="preserve"> </w:t>
      </w:r>
      <w:r>
        <w:t>month.</w:t>
      </w:r>
    </w:p>
    <w:p w:rsidR="008210AC" w:rsidRDefault="008210AC" w:rsidP="008210AC">
      <w:pPr>
        <w:pStyle w:val="BodyText"/>
        <w:spacing w:before="1"/>
      </w:pPr>
    </w:p>
    <w:p w:rsidR="008210AC" w:rsidRDefault="008210AC" w:rsidP="008210AC">
      <w:pPr>
        <w:pStyle w:val="BodyText"/>
        <w:ind w:left="160"/>
        <w:jc w:val="both"/>
      </w:pPr>
      <w:r>
        <w:rPr>
          <w:u w:val="single"/>
        </w:rPr>
        <w:t>Section 20.</w:t>
      </w:r>
      <w:r>
        <w:t xml:space="preserve"> Water and Sewer rates shall be charged as follows for meter readings on or after July 1, 2019:</w:t>
      </w:r>
    </w:p>
    <w:p w:rsidR="008210AC" w:rsidRDefault="008210AC" w:rsidP="008210AC">
      <w:pPr>
        <w:pStyle w:val="BodyText"/>
        <w:spacing w:before="5"/>
        <w:rPr>
          <w:sz w:val="17"/>
        </w:rPr>
      </w:pPr>
    </w:p>
    <w:p w:rsidR="008210AC" w:rsidRDefault="008210AC" w:rsidP="008210AC">
      <w:pPr>
        <w:pStyle w:val="BodyText"/>
        <w:tabs>
          <w:tab w:val="left" w:pos="1439"/>
        </w:tabs>
        <w:spacing w:before="56"/>
        <w:ind w:right="958"/>
        <w:jc w:val="center"/>
      </w:pPr>
      <w:r>
        <w:rPr>
          <w:u w:val="single"/>
        </w:rPr>
        <w:t>Water:</w:t>
      </w:r>
      <w:r>
        <w:tab/>
        <w:t>$10.75 minimum per month for 2,000 gallons (treated</w:t>
      </w:r>
      <w:r>
        <w:rPr>
          <w:spacing w:val="-14"/>
        </w:rPr>
        <w:t xml:space="preserve"> </w:t>
      </w:r>
      <w:r>
        <w:t>water)</w:t>
      </w:r>
    </w:p>
    <w:p w:rsidR="008210AC" w:rsidRDefault="008210AC" w:rsidP="008210AC">
      <w:pPr>
        <w:pStyle w:val="BodyText"/>
        <w:spacing w:before="1"/>
        <w:ind w:left="2320"/>
      </w:pPr>
      <w:r>
        <w:t>$6.60 per 1,000 gallons over 2,000 gallons (treated water)</w:t>
      </w:r>
    </w:p>
    <w:p w:rsidR="008210AC" w:rsidRDefault="008210AC" w:rsidP="008210AC">
      <w:pPr>
        <w:pStyle w:val="BodyText"/>
        <w:ind w:left="2320"/>
      </w:pPr>
      <w:r>
        <w:t>$.90 per 1,000 gallons (raw water)</w:t>
      </w:r>
    </w:p>
    <w:p w:rsidR="008210AC" w:rsidRDefault="008210AC" w:rsidP="008210AC">
      <w:pPr>
        <w:ind w:left="2320"/>
        <w:rPr>
          <w:i/>
        </w:rPr>
      </w:pPr>
      <w:r>
        <w:rPr>
          <w:i/>
        </w:rPr>
        <w:t>The rates for customers outside of the City limits are double the above amount</w:t>
      </w:r>
    </w:p>
    <w:p w:rsidR="008210AC" w:rsidRDefault="008210AC" w:rsidP="008210AC">
      <w:pPr>
        <w:pStyle w:val="BodyText"/>
        <w:spacing w:before="11"/>
        <w:rPr>
          <w:i/>
          <w:sz w:val="21"/>
        </w:rPr>
      </w:pPr>
    </w:p>
    <w:p w:rsidR="008210AC" w:rsidRDefault="008210AC" w:rsidP="008210AC">
      <w:pPr>
        <w:pStyle w:val="BodyText"/>
        <w:tabs>
          <w:tab w:val="left" w:pos="5921"/>
        </w:tabs>
        <w:ind w:left="2320"/>
      </w:pPr>
      <w:r>
        <w:t>Deposits</w:t>
      </w:r>
      <w:r>
        <w:tab/>
        <w:t>$100/150/300</w:t>
      </w:r>
    </w:p>
    <w:p w:rsidR="008210AC" w:rsidRDefault="008210AC" w:rsidP="008210AC">
      <w:pPr>
        <w:pStyle w:val="BodyText"/>
        <w:tabs>
          <w:tab w:val="left" w:pos="5921"/>
        </w:tabs>
        <w:ind w:left="2320"/>
      </w:pPr>
      <w:r>
        <w:t>Reconnect</w:t>
      </w:r>
      <w:r>
        <w:tab/>
        <w:t>$35</w:t>
      </w:r>
    </w:p>
    <w:p w:rsidR="008210AC" w:rsidRDefault="008210AC" w:rsidP="008210AC">
      <w:pPr>
        <w:pStyle w:val="BodyText"/>
        <w:tabs>
          <w:tab w:val="left" w:pos="5921"/>
        </w:tabs>
        <w:spacing w:before="1"/>
        <w:ind w:left="2320"/>
      </w:pPr>
      <w:r>
        <w:t>Broken Lock</w:t>
      </w:r>
      <w:r>
        <w:tab/>
        <w:t>$300</w:t>
      </w:r>
    </w:p>
    <w:p w:rsidR="008210AC" w:rsidRDefault="008210AC" w:rsidP="008210AC">
      <w:pPr>
        <w:pStyle w:val="BodyText"/>
        <w:tabs>
          <w:tab w:val="left" w:pos="5921"/>
        </w:tabs>
        <w:ind w:left="2320"/>
      </w:pPr>
      <w:r>
        <w:t>Meter</w:t>
      </w:r>
      <w:r>
        <w:rPr>
          <w:spacing w:val="-1"/>
        </w:rPr>
        <w:t xml:space="preserve"> </w:t>
      </w:r>
      <w:r>
        <w:t>Tampering</w:t>
      </w:r>
      <w:r>
        <w:tab/>
        <w:t>$500</w:t>
      </w:r>
    </w:p>
    <w:p w:rsidR="008210AC" w:rsidRDefault="008210AC" w:rsidP="008210AC">
      <w:pPr>
        <w:pStyle w:val="BodyText"/>
        <w:tabs>
          <w:tab w:val="left" w:pos="5921"/>
        </w:tabs>
        <w:ind w:left="2320"/>
      </w:pPr>
      <w:r>
        <w:t>Administrative Fee</w:t>
      </w:r>
      <w:r>
        <w:tab/>
        <w:t>$40</w:t>
      </w:r>
    </w:p>
    <w:p w:rsidR="008210AC" w:rsidRDefault="008210AC" w:rsidP="008210AC">
      <w:pPr>
        <w:pStyle w:val="BodyText"/>
        <w:tabs>
          <w:tab w:val="left" w:pos="5921"/>
        </w:tabs>
        <w:ind w:left="2320"/>
      </w:pPr>
      <w:r>
        <w:t>Illegal</w:t>
      </w:r>
      <w:r>
        <w:rPr>
          <w:spacing w:val="-1"/>
        </w:rPr>
        <w:t xml:space="preserve"> </w:t>
      </w:r>
      <w:r>
        <w:t>Turn</w:t>
      </w:r>
      <w:r>
        <w:rPr>
          <w:spacing w:val="-2"/>
        </w:rPr>
        <w:t xml:space="preserve"> </w:t>
      </w:r>
      <w:r>
        <w:t>On</w:t>
      </w:r>
      <w:r>
        <w:tab/>
        <w:t>$150</w:t>
      </w:r>
    </w:p>
    <w:p w:rsidR="008210AC" w:rsidRDefault="008210AC" w:rsidP="008210AC">
      <w:pPr>
        <w:pStyle w:val="BodyText"/>
        <w:tabs>
          <w:tab w:val="left" w:pos="5921"/>
        </w:tabs>
        <w:spacing w:before="1"/>
        <w:ind w:left="2320"/>
      </w:pPr>
      <w:r>
        <w:t>Meter</w:t>
      </w:r>
      <w:r>
        <w:rPr>
          <w:spacing w:val="-1"/>
        </w:rPr>
        <w:t xml:space="preserve"> </w:t>
      </w:r>
      <w:r>
        <w:t>Reset</w:t>
      </w:r>
      <w:r>
        <w:tab/>
        <w:t>$150</w:t>
      </w:r>
    </w:p>
    <w:p w:rsidR="008210AC" w:rsidRDefault="008210AC" w:rsidP="008210AC">
      <w:pPr>
        <w:pStyle w:val="BodyText"/>
      </w:pPr>
    </w:p>
    <w:p w:rsidR="008210AC" w:rsidRDefault="008210AC" w:rsidP="008210AC">
      <w:pPr>
        <w:pStyle w:val="BodyText"/>
        <w:ind w:left="2320"/>
      </w:pPr>
      <w:r>
        <w:rPr>
          <w:u w:val="single"/>
        </w:rPr>
        <w:t>Tap Fee Schedule*</w:t>
      </w:r>
    </w:p>
    <w:p w:rsidR="008210AC" w:rsidRDefault="008210AC" w:rsidP="008210AC">
      <w:pPr>
        <w:pStyle w:val="BodyText"/>
        <w:spacing w:before="3"/>
        <w:rPr>
          <w:sz w:val="17"/>
        </w:rPr>
      </w:pPr>
    </w:p>
    <w:p w:rsidR="008210AC" w:rsidRDefault="008210AC" w:rsidP="008210AC">
      <w:pPr>
        <w:pStyle w:val="BodyText"/>
        <w:tabs>
          <w:tab w:val="left" w:pos="5921"/>
        </w:tabs>
        <w:spacing w:before="56"/>
        <w:ind w:left="2320"/>
      </w:pPr>
      <w:r>
        <w:t>¾</w:t>
      </w:r>
      <w:r>
        <w:rPr>
          <w:spacing w:val="-1"/>
        </w:rPr>
        <w:t xml:space="preserve"> </w:t>
      </w:r>
      <w:r>
        <w:t>Inch Line:</w:t>
      </w:r>
      <w:r>
        <w:tab/>
        <w:t>$1,500</w:t>
      </w:r>
    </w:p>
    <w:p w:rsidR="008210AC" w:rsidRDefault="008210AC" w:rsidP="008210AC">
      <w:pPr>
        <w:pStyle w:val="BodyText"/>
        <w:tabs>
          <w:tab w:val="left" w:pos="5921"/>
        </w:tabs>
        <w:spacing w:before="1"/>
        <w:ind w:left="2320"/>
      </w:pPr>
      <w:r>
        <w:t>1</w:t>
      </w:r>
      <w:r>
        <w:rPr>
          <w:spacing w:val="-1"/>
        </w:rPr>
        <w:t xml:space="preserve"> </w:t>
      </w:r>
      <w:r>
        <w:t>Inch Line:</w:t>
      </w:r>
      <w:r>
        <w:tab/>
        <w:t>$1,550</w:t>
      </w:r>
    </w:p>
    <w:p w:rsidR="008210AC" w:rsidRDefault="008210AC" w:rsidP="008210AC">
      <w:pPr>
        <w:pStyle w:val="ListParagraph"/>
        <w:widowControl w:val="0"/>
        <w:numPr>
          <w:ilvl w:val="0"/>
          <w:numId w:val="19"/>
        </w:numPr>
        <w:tabs>
          <w:tab w:val="left" w:pos="2483"/>
          <w:tab w:val="left" w:pos="5921"/>
        </w:tabs>
        <w:autoSpaceDE w:val="0"/>
        <w:autoSpaceDN w:val="0"/>
        <w:spacing w:after="0" w:line="240" w:lineRule="auto"/>
        <w:ind w:hanging="162"/>
        <w:contextualSpacing w:val="0"/>
      </w:pPr>
      <w:r>
        <w:t>½</w:t>
      </w:r>
      <w:r>
        <w:rPr>
          <w:spacing w:val="-1"/>
        </w:rPr>
        <w:t xml:space="preserve"> </w:t>
      </w:r>
      <w:r>
        <w:t>Inch</w:t>
      </w:r>
      <w:r>
        <w:rPr>
          <w:spacing w:val="-1"/>
        </w:rPr>
        <w:t xml:space="preserve"> </w:t>
      </w:r>
      <w:r>
        <w:t>Line:</w:t>
      </w:r>
      <w:r>
        <w:tab/>
        <w:t>$1,600</w:t>
      </w:r>
    </w:p>
    <w:p w:rsidR="008210AC" w:rsidRDefault="008210AC" w:rsidP="008210AC">
      <w:pPr>
        <w:pStyle w:val="ListParagraph"/>
        <w:widowControl w:val="0"/>
        <w:numPr>
          <w:ilvl w:val="0"/>
          <w:numId w:val="19"/>
        </w:numPr>
        <w:tabs>
          <w:tab w:val="left" w:pos="2483"/>
          <w:tab w:val="left" w:pos="5921"/>
        </w:tabs>
        <w:autoSpaceDE w:val="0"/>
        <w:autoSpaceDN w:val="0"/>
        <w:spacing w:after="0" w:line="240" w:lineRule="auto"/>
        <w:ind w:hanging="162"/>
        <w:contextualSpacing w:val="0"/>
      </w:pPr>
      <w:r>
        <w:t>Inch</w:t>
      </w:r>
      <w:r>
        <w:rPr>
          <w:spacing w:val="-1"/>
        </w:rPr>
        <w:t xml:space="preserve"> </w:t>
      </w:r>
      <w:r>
        <w:t>Line:</w:t>
      </w:r>
      <w:r>
        <w:tab/>
        <w:t>$1,650</w:t>
      </w:r>
    </w:p>
    <w:p w:rsidR="008210AC" w:rsidRDefault="008210AC" w:rsidP="008210AC">
      <w:pPr>
        <w:spacing w:before="1"/>
        <w:ind w:left="2320"/>
        <w:rPr>
          <w:i/>
        </w:rPr>
      </w:pPr>
      <w:r>
        <w:rPr>
          <w:i/>
        </w:rPr>
        <w:t>*plus cost of meter</w:t>
      </w:r>
    </w:p>
    <w:p w:rsidR="008210AC" w:rsidRDefault="008210AC" w:rsidP="008210AC">
      <w:pPr>
        <w:pStyle w:val="BodyText"/>
        <w:rPr>
          <w:i/>
        </w:rPr>
      </w:pPr>
    </w:p>
    <w:p w:rsidR="008210AC" w:rsidRDefault="008210AC" w:rsidP="008210AC">
      <w:pPr>
        <w:pStyle w:val="BodyText"/>
        <w:rPr>
          <w:i/>
        </w:rPr>
      </w:pPr>
    </w:p>
    <w:p w:rsidR="008210AC" w:rsidRDefault="008210AC" w:rsidP="008210AC">
      <w:pPr>
        <w:pStyle w:val="BodyText"/>
        <w:tabs>
          <w:tab w:val="left" w:pos="2320"/>
        </w:tabs>
        <w:ind w:left="880"/>
      </w:pPr>
      <w:r>
        <w:rPr>
          <w:u w:val="single"/>
        </w:rPr>
        <w:t>Sewer:</w:t>
      </w:r>
      <w:r>
        <w:tab/>
        <w:t>$14.60 minimum per month for 2,000</w:t>
      </w:r>
      <w:r>
        <w:rPr>
          <w:spacing w:val="-10"/>
        </w:rPr>
        <w:t xml:space="preserve"> </w:t>
      </w:r>
      <w:r>
        <w:t>gallons</w:t>
      </w:r>
    </w:p>
    <w:p w:rsidR="008210AC" w:rsidRDefault="008210AC" w:rsidP="008210AC">
      <w:pPr>
        <w:pStyle w:val="BodyText"/>
        <w:spacing w:before="1"/>
        <w:ind w:left="2320"/>
      </w:pPr>
      <w:r>
        <w:t>$11.20 per 1,000 gallons over 2,000 gallons</w:t>
      </w:r>
    </w:p>
    <w:p w:rsidR="008210AC" w:rsidRDefault="008210AC" w:rsidP="008210AC">
      <w:pPr>
        <w:pStyle w:val="BodyText"/>
        <w:spacing w:line="267" w:lineRule="exact"/>
        <w:ind w:left="2320"/>
      </w:pPr>
      <w:r>
        <w:t>$6.30 per 1,000 gallons over 1,000,000 gallons</w:t>
      </w:r>
    </w:p>
    <w:p w:rsidR="008210AC" w:rsidRDefault="008210AC" w:rsidP="008210AC">
      <w:pPr>
        <w:spacing w:line="267" w:lineRule="exact"/>
        <w:ind w:left="2320"/>
        <w:rPr>
          <w:i/>
        </w:rPr>
      </w:pPr>
      <w:r>
        <w:rPr>
          <w:i/>
        </w:rPr>
        <w:t>The rates for customers outside of the City limits are double the above amount</w:t>
      </w:r>
    </w:p>
    <w:p w:rsidR="008210AC" w:rsidRDefault="008210AC" w:rsidP="008210AC">
      <w:pPr>
        <w:pStyle w:val="BodyText"/>
        <w:spacing w:before="7" w:after="1"/>
        <w:rPr>
          <w:i/>
          <w:sz w:val="25"/>
        </w:rPr>
      </w:pPr>
    </w:p>
    <w:tbl>
      <w:tblPr>
        <w:tblW w:w="0" w:type="auto"/>
        <w:tblInd w:w="2277" w:type="dxa"/>
        <w:tblLayout w:type="fixed"/>
        <w:tblCellMar>
          <w:left w:w="0" w:type="dxa"/>
          <w:right w:w="0" w:type="dxa"/>
        </w:tblCellMar>
        <w:tblLook w:val="01E0" w:firstRow="1" w:lastRow="1" w:firstColumn="1" w:lastColumn="1" w:noHBand="0" w:noVBand="0"/>
      </w:tblPr>
      <w:tblGrid>
        <w:gridCol w:w="2630"/>
        <w:gridCol w:w="1684"/>
      </w:tblGrid>
      <w:tr w:rsidR="008210AC" w:rsidTr="008210AC">
        <w:trPr>
          <w:trHeight w:val="379"/>
        </w:trPr>
        <w:tc>
          <w:tcPr>
            <w:tcW w:w="2630" w:type="dxa"/>
          </w:tcPr>
          <w:p w:rsidR="008210AC" w:rsidRDefault="008210AC" w:rsidP="008210AC">
            <w:pPr>
              <w:pStyle w:val="TableParagraph"/>
              <w:spacing w:line="225" w:lineRule="exact"/>
              <w:ind w:left="50"/>
            </w:pPr>
            <w:r>
              <w:rPr>
                <w:u w:val="single"/>
              </w:rPr>
              <w:t>Tap Fee Schedule</w:t>
            </w:r>
          </w:p>
        </w:tc>
        <w:tc>
          <w:tcPr>
            <w:tcW w:w="1684" w:type="dxa"/>
          </w:tcPr>
          <w:p w:rsidR="008210AC" w:rsidRDefault="008210AC" w:rsidP="008210AC">
            <w:pPr>
              <w:pStyle w:val="TableParagraph"/>
              <w:spacing w:line="240" w:lineRule="auto"/>
              <w:rPr>
                <w:rFonts w:ascii="Times New Roman"/>
              </w:rPr>
            </w:pPr>
          </w:p>
        </w:tc>
      </w:tr>
      <w:tr w:rsidR="008210AC" w:rsidTr="008210AC">
        <w:trPr>
          <w:trHeight w:val="403"/>
        </w:trPr>
        <w:tc>
          <w:tcPr>
            <w:tcW w:w="2630" w:type="dxa"/>
          </w:tcPr>
          <w:p w:rsidR="008210AC" w:rsidRDefault="008210AC" w:rsidP="008210AC">
            <w:pPr>
              <w:pStyle w:val="TableParagraph"/>
              <w:spacing w:before="115" w:line="240" w:lineRule="auto"/>
              <w:ind w:left="50"/>
            </w:pPr>
            <w:r>
              <w:t>4 Inch:</w:t>
            </w:r>
          </w:p>
        </w:tc>
        <w:tc>
          <w:tcPr>
            <w:tcW w:w="1684" w:type="dxa"/>
          </w:tcPr>
          <w:p w:rsidR="008210AC" w:rsidRDefault="008210AC" w:rsidP="008210AC">
            <w:pPr>
              <w:pStyle w:val="TableParagraph"/>
              <w:spacing w:before="115" w:line="240" w:lineRule="auto"/>
              <w:ind w:right="48"/>
              <w:jc w:val="right"/>
            </w:pPr>
            <w:r>
              <w:t>$1,850</w:t>
            </w:r>
          </w:p>
        </w:tc>
      </w:tr>
      <w:tr w:rsidR="008210AC" w:rsidTr="008210AC">
        <w:trPr>
          <w:trHeight w:val="244"/>
        </w:trPr>
        <w:tc>
          <w:tcPr>
            <w:tcW w:w="2630" w:type="dxa"/>
          </w:tcPr>
          <w:p w:rsidR="008210AC" w:rsidRDefault="008210AC" w:rsidP="008210AC">
            <w:pPr>
              <w:pStyle w:val="TableParagraph"/>
              <w:spacing w:line="225" w:lineRule="exact"/>
              <w:ind w:left="50"/>
            </w:pPr>
            <w:r>
              <w:t>6 Inch:</w:t>
            </w:r>
          </w:p>
        </w:tc>
        <w:tc>
          <w:tcPr>
            <w:tcW w:w="1684" w:type="dxa"/>
          </w:tcPr>
          <w:p w:rsidR="008210AC" w:rsidRDefault="008210AC" w:rsidP="008210AC">
            <w:pPr>
              <w:pStyle w:val="TableParagraph"/>
              <w:spacing w:line="225" w:lineRule="exact"/>
              <w:ind w:right="48"/>
              <w:jc w:val="right"/>
            </w:pPr>
            <w:r>
              <w:t>$1,950</w:t>
            </w:r>
          </w:p>
        </w:tc>
      </w:tr>
    </w:tbl>
    <w:p w:rsidR="008210AC" w:rsidRDefault="008210AC" w:rsidP="008210AC">
      <w:pPr>
        <w:pStyle w:val="BodyText"/>
        <w:spacing w:before="4"/>
        <w:rPr>
          <w:i/>
        </w:rPr>
      </w:pPr>
    </w:p>
    <w:p w:rsidR="008210AC" w:rsidRDefault="008210AC" w:rsidP="008210AC">
      <w:pPr>
        <w:pStyle w:val="BodyText"/>
        <w:ind w:left="2320" w:right="139"/>
      </w:pPr>
      <w:r>
        <w:t>The availability charge for customers not connected to water or sewer shall be a minimum charge for that service.</w:t>
      </w:r>
    </w:p>
    <w:p w:rsidR="008210AC" w:rsidRDefault="008210AC" w:rsidP="008210AC">
      <w:pPr>
        <w:pStyle w:val="BodyText"/>
        <w:spacing w:before="3"/>
        <w:rPr>
          <w:sz w:val="17"/>
        </w:rPr>
      </w:pPr>
    </w:p>
    <w:p w:rsidR="008210AC" w:rsidRDefault="008210AC" w:rsidP="008210AC">
      <w:pPr>
        <w:rPr>
          <w:sz w:val="17"/>
        </w:rPr>
        <w:sectPr w:rsidR="008210AC">
          <w:pgSz w:w="12240" w:h="15840"/>
          <w:pgMar w:top="1400" w:right="1320" w:bottom="280" w:left="1280" w:header="720" w:footer="720" w:gutter="0"/>
          <w:cols w:space="720"/>
        </w:sectPr>
      </w:pPr>
    </w:p>
    <w:p w:rsidR="008210AC" w:rsidRDefault="008210AC" w:rsidP="008210AC">
      <w:pPr>
        <w:pStyle w:val="BodyText"/>
        <w:spacing w:before="56"/>
        <w:ind w:left="880"/>
      </w:pPr>
      <w:r>
        <w:rPr>
          <w:u w:val="single"/>
        </w:rPr>
        <w:t>Availability Fee:</w:t>
      </w:r>
    </w:p>
    <w:p w:rsidR="008210AC" w:rsidRDefault="008210AC" w:rsidP="008210AC">
      <w:pPr>
        <w:pStyle w:val="BodyText"/>
        <w:spacing w:before="8"/>
        <w:rPr>
          <w:sz w:val="26"/>
        </w:rPr>
      </w:pPr>
      <w:r>
        <w:br w:type="column"/>
      </w:r>
    </w:p>
    <w:p w:rsidR="008210AC" w:rsidRDefault="008210AC" w:rsidP="008210AC">
      <w:pPr>
        <w:pStyle w:val="BodyText"/>
        <w:ind w:left="-9"/>
      </w:pPr>
      <w:r>
        <w:t>$14.60 inside customers connected to sewer but not water</w:t>
      </w:r>
    </w:p>
    <w:p w:rsidR="008210AC" w:rsidRDefault="008210AC" w:rsidP="008210AC">
      <w:pPr>
        <w:pStyle w:val="BodyText"/>
        <w:ind w:left="-9"/>
      </w:pPr>
      <w:r>
        <w:t>$25.35 inside customers not connected to water or sewer</w:t>
      </w:r>
    </w:p>
    <w:p w:rsidR="008210AC" w:rsidRDefault="008210AC" w:rsidP="008210AC">
      <w:pPr>
        <w:sectPr w:rsidR="008210AC">
          <w:type w:val="continuous"/>
          <w:pgSz w:w="12240" w:h="15840"/>
          <w:pgMar w:top="1440" w:right="1320" w:bottom="280" w:left="1280" w:header="720" w:footer="720" w:gutter="0"/>
          <w:cols w:num="2" w:space="720" w:equalWidth="0">
            <w:col w:w="2289" w:space="40"/>
            <w:col w:w="7311"/>
          </w:cols>
        </w:sectPr>
      </w:pPr>
    </w:p>
    <w:p w:rsidR="008210AC" w:rsidRDefault="008210AC" w:rsidP="008210AC">
      <w:pPr>
        <w:pStyle w:val="BodyText"/>
        <w:spacing w:before="39"/>
        <w:ind w:left="880"/>
      </w:pPr>
      <w:r>
        <w:rPr>
          <w:u w:val="single"/>
        </w:rPr>
        <w:lastRenderedPageBreak/>
        <w:t>Meters:</w:t>
      </w:r>
    </w:p>
    <w:p w:rsidR="008210AC" w:rsidRDefault="008210AC" w:rsidP="008210AC">
      <w:pPr>
        <w:pStyle w:val="BodyText"/>
        <w:spacing w:before="3"/>
        <w:rPr>
          <w:sz w:val="25"/>
        </w:rPr>
      </w:pPr>
      <w:r>
        <w:br w:type="column"/>
      </w:r>
    </w:p>
    <w:p w:rsidR="008210AC" w:rsidRDefault="008210AC" w:rsidP="008210AC">
      <w:pPr>
        <w:pStyle w:val="BodyText"/>
        <w:ind w:left="695" w:right="3591"/>
      </w:pPr>
      <w:r>
        <w:t>Meter Check: One free per year. Defective meters replaced free of charge.</w:t>
      </w:r>
    </w:p>
    <w:p w:rsidR="008210AC" w:rsidRDefault="008210AC" w:rsidP="008210AC">
      <w:pPr>
        <w:pStyle w:val="BodyText"/>
        <w:spacing w:before="1"/>
        <w:ind w:left="695"/>
      </w:pPr>
      <w:r>
        <w:t>Non-defective meters will results in a charge of $25 plus the cost of testing.</w:t>
      </w:r>
    </w:p>
    <w:p w:rsidR="008210AC" w:rsidRDefault="008210AC" w:rsidP="008210AC">
      <w:pPr>
        <w:sectPr w:rsidR="008210AC">
          <w:pgSz w:w="12240" w:h="15840"/>
          <w:pgMar w:top="1400" w:right="1320" w:bottom="280" w:left="1280" w:header="720" w:footer="720" w:gutter="0"/>
          <w:cols w:num="2" w:space="720" w:equalWidth="0">
            <w:col w:w="1585" w:space="40"/>
            <w:col w:w="8015"/>
          </w:cols>
        </w:sectPr>
      </w:pPr>
    </w:p>
    <w:p w:rsidR="008210AC" w:rsidRDefault="008210AC" w:rsidP="008210AC">
      <w:pPr>
        <w:pStyle w:val="BodyText"/>
        <w:spacing w:before="2"/>
        <w:rPr>
          <w:sz w:val="17"/>
        </w:rPr>
      </w:pPr>
    </w:p>
    <w:p w:rsidR="008210AC" w:rsidRDefault="008210AC" w:rsidP="008210AC">
      <w:pPr>
        <w:pStyle w:val="BodyText"/>
        <w:spacing w:before="57"/>
        <w:ind w:left="160"/>
      </w:pPr>
      <w:r>
        <w:rPr>
          <w:u w:val="single"/>
        </w:rPr>
        <w:t>Section 21:</w:t>
      </w:r>
      <w:r>
        <w:t xml:space="preserve"> Natural Gas and other Fees shall be charged as follows after July 1, 2019</w:t>
      </w:r>
    </w:p>
    <w:p w:rsidR="008210AC" w:rsidRDefault="008210AC" w:rsidP="008210AC">
      <w:pPr>
        <w:pStyle w:val="BodyText"/>
        <w:spacing w:before="5"/>
        <w:rPr>
          <w:sz w:val="17"/>
        </w:rPr>
      </w:pPr>
    </w:p>
    <w:p w:rsidR="008210AC" w:rsidRDefault="008210AC" w:rsidP="008210AC">
      <w:pPr>
        <w:rPr>
          <w:sz w:val="17"/>
        </w:rPr>
        <w:sectPr w:rsidR="008210AC">
          <w:type w:val="continuous"/>
          <w:pgSz w:w="12240" w:h="15840"/>
          <w:pgMar w:top="1440" w:right="1320" w:bottom="280" w:left="1280" w:header="720" w:footer="720" w:gutter="0"/>
          <w:cols w:space="720"/>
        </w:sectPr>
      </w:pPr>
    </w:p>
    <w:p w:rsidR="008210AC" w:rsidRDefault="008210AC" w:rsidP="008210AC">
      <w:pPr>
        <w:pStyle w:val="BodyText"/>
        <w:spacing w:before="56"/>
        <w:ind w:left="880"/>
      </w:pPr>
      <w:r>
        <w:rPr>
          <w:u w:val="single"/>
        </w:rPr>
        <w:t>Natural Gas:</w:t>
      </w:r>
    </w:p>
    <w:p w:rsidR="008210AC" w:rsidRDefault="008210AC" w:rsidP="008210AC">
      <w:pPr>
        <w:pStyle w:val="BodyText"/>
        <w:spacing w:before="7"/>
        <w:rPr>
          <w:sz w:val="26"/>
        </w:rPr>
      </w:pPr>
      <w:r>
        <w:br w:type="column"/>
      </w:r>
    </w:p>
    <w:p w:rsidR="008210AC" w:rsidRDefault="008210AC" w:rsidP="008210AC">
      <w:pPr>
        <w:pStyle w:val="BodyText"/>
        <w:tabs>
          <w:tab w:val="left" w:pos="3890"/>
        </w:tabs>
        <w:spacing w:before="1"/>
        <w:ind w:left="289" w:right="501"/>
      </w:pPr>
      <w:r>
        <w:t>Residential</w:t>
      </w:r>
      <w:r>
        <w:rPr>
          <w:spacing w:val="-4"/>
        </w:rPr>
        <w:t xml:space="preserve"> </w:t>
      </w:r>
      <w:r>
        <w:t>(All Usage)</w:t>
      </w:r>
      <w:r>
        <w:tab/>
        <w:t>Operation Expense + $9.40 per MCF Business Level 1</w:t>
      </w:r>
      <w:r>
        <w:rPr>
          <w:spacing w:val="46"/>
        </w:rPr>
        <w:t xml:space="preserve"> </w:t>
      </w:r>
      <w:r>
        <w:t>(1-24,000</w:t>
      </w:r>
      <w:r>
        <w:rPr>
          <w:spacing w:val="-4"/>
        </w:rPr>
        <w:t xml:space="preserve"> </w:t>
      </w:r>
      <w:r>
        <w:t>MCF)</w:t>
      </w:r>
      <w:r>
        <w:tab/>
        <w:t>Cost at Gate + $5.00 per MCF Business Level 2</w:t>
      </w:r>
      <w:r>
        <w:rPr>
          <w:spacing w:val="-5"/>
        </w:rPr>
        <w:t xml:space="preserve"> </w:t>
      </w:r>
      <w:r>
        <w:t>(24,001-30,000</w:t>
      </w:r>
      <w:r>
        <w:rPr>
          <w:spacing w:val="-3"/>
        </w:rPr>
        <w:t xml:space="preserve"> </w:t>
      </w:r>
      <w:r>
        <w:t>MCF)</w:t>
      </w:r>
      <w:r>
        <w:tab/>
        <w:t>Cost at Gate + $3.00 per MCF Business Level 3 (30,001 MCF or More) Cost at Gate + 1.50 per</w:t>
      </w:r>
      <w:r>
        <w:rPr>
          <w:spacing w:val="3"/>
        </w:rPr>
        <w:t xml:space="preserve"> </w:t>
      </w:r>
      <w:r>
        <w:t>MCF</w:t>
      </w:r>
    </w:p>
    <w:p w:rsidR="008210AC" w:rsidRDefault="008210AC" w:rsidP="008210AC">
      <w:pPr>
        <w:spacing w:before="1"/>
        <w:ind w:left="289"/>
        <w:rPr>
          <w:i/>
        </w:rPr>
      </w:pPr>
      <w:r>
        <w:rPr>
          <w:i/>
        </w:rPr>
        <w:t>All rates above are based off of monthly usage.</w:t>
      </w:r>
    </w:p>
    <w:p w:rsidR="008210AC" w:rsidRDefault="008210AC" w:rsidP="008210AC">
      <w:pPr>
        <w:sectPr w:rsidR="008210AC">
          <w:type w:val="continuous"/>
          <w:pgSz w:w="12240" w:h="15840"/>
          <w:pgMar w:top="1440" w:right="1320" w:bottom="280" w:left="1280" w:header="720" w:footer="720" w:gutter="0"/>
          <w:cols w:num="2" w:space="720" w:equalWidth="0">
            <w:col w:w="1991" w:space="40"/>
            <w:col w:w="7609"/>
          </w:cols>
        </w:sectPr>
      </w:pPr>
    </w:p>
    <w:p w:rsidR="008210AC" w:rsidRDefault="008210AC" w:rsidP="008210AC">
      <w:pPr>
        <w:pStyle w:val="BodyText"/>
        <w:spacing w:before="5" w:after="1"/>
        <w:rPr>
          <w:i/>
          <w:sz w:val="25"/>
        </w:rPr>
      </w:pPr>
    </w:p>
    <w:tbl>
      <w:tblPr>
        <w:tblW w:w="0" w:type="auto"/>
        <w:tblInd w:w="2277" w:type="dxa"/>
        <w:tblLayout w:type="fixed"/>
        <w:tblCellMar>
          <w:left w:w="0" w:type="dxa"/>
          <w:right w:w="0" w:type="dxa"/>
        </w:tblCellMar>
        <w:tblLook w:val="01E0" w:firstRow="1" w:lastRow="1" w:firstColumn="1" w:lastColumn="1" w:noHBand="0" w:noVBand="0"/>
      </w:tblPr>
      <w:tblGrid>
        <w:gridCol w:w="3234"/>
        <w:gridCol w:w="1752"/>
      </w:tblGrid>
      <w:tr w:rsidR="008210AC" w:rsidTr="008210AC">
        <w:trPr>
          <w:trHeight w:val="244"/>
        </w:trPr>
        <w:tc>
          <w:tcPr>
            <w:tcW w:w="3234" w:type="dxa"/>
          </w:tcPr>
          <w:p w:rsidR="008210AC" w:rsidRDefault="008210AC" w:rsidP="008210AC">
            <w:pPr>
              <w:pStyle w:val="TableParagraph"/>
              <w:spacing w:line="225" w:lineRule="exact"/>
              <w:ind w:left="50"/>
            </w:pPr>
            <w:r>
              <w:t>Deposits:</w:t>
            </w:r>
          </w:p>
        </w:tc>
        <w:tc>
          <w:tcPr>
            <w:tcW w:w="1752" w:type="dxa"/>
          </w:tcPr>
          <w:p w:rsidR="008210AC" w:rsidRDefault="008210AC" w:rsidP="008210AC">
            <w:pPr>
              <w:pStyle w:val="TableParagraph"/>
              <w:spacing w:line="225" w:lineRule="exact"/>
              <w:ind w:left="416"/>
            </w:pPr>
            <w:r>
              <w:t>$150/225/300</w:t>
            </w:r>
          </w:p>
        </w:tc>
      </w:tr>
      <w:tr w:rsidR="008210AC" w:rsidTr="008210AC">
        <w:trPr>
          <w:trHeight w:val="268"/>
        </w:trPr>
        <w:tc>
          <w:tcPr>
            <w:tcW w:w="3234" w:type="dxa"/>
          </w:tcPr>
          <w:p w:rsidR="008210AC" w:rsidRDefault="008210AC" w:rsidP="008210AC">
            <w:pPr>
              <w:pStyle w:val="TableParagraph"/>
              <w:ind w:left="50"/>
            </w:pPr>
            <w:r>
              <w:t>Reconnect:</w:t>
            </w:r>
          </w:p>
        </w:tc>
        <w:tc>
          <w:tcPr>
            <w:tcW w:w="1752" w:type="dxa"/>
          </w:tcPr>
          <w:p w:rsidR="008210AC" w:rsidRDefault="008210AC" w:rsidP="008210AC">
            <w:pPr>
              <w:pStyle w:val="TableParagraph"/>
              <w:ind w:left="416"/>
            </w:pPr>
            <w:r>
              <w:t>$40</w:t>
            </w:r>
          </w:p>
        </w:tc>
      </w:tr>
      <w:tr w:rsidR="008210AC" w:rsidTr="008210AC">
        <w:trPr>
          <w:trHeight w:val="268"/>
        </w:trPr>
        <w:tc>
          <w:tcPr>
            <w:tcW w:w="3234" w:type="dxa"/>
          </w:tcPr>
          <w:p w:rsidR="008210AC" w:rsidRDefault="008210AC" w:rsidP="008210AC">
            <w:pPr>
              <w:pStyle w:val="TableParagraph"/>
              <w:ind w:left="50"/>
            </w:pPr>
            <w:r>
              <w:t>Seasonal Cutoff:</w:t>
            </w:r>
          </w:p>
        </w:tc>
        <w:tc>
          <w:tcPr>
            <w:tcW w:w="1752" w:type="dxa"/>
          </w:tcPr>
          <w:p w:rsidR="008210AC" w:rsidRDefault="008210AC" w:rsidP="008210AC">
            <w:pPr>
              <w:pStyle w:val="TableParagraph"/>
              <w:ind w:left="416"/>
            </w:pPr>
            <w:r>
              <w:t>$100</w:t>
            </w:r>
          </w:p>
        </w:tc>
      </w:tr>
      <w:tr w:rsidR="008210AC" w:rsidTr="008210AC">
        <w:trPr>
          <w:trHeight w:val="268"/>
        </w:trPr>
        <w:tc>
          <w:tcPr>
            <w:tcW w:w="3234" w:type="dxa"/>
          </w:tcPr>
          <w:p w:rsidR="008210AC" w:rsidRDefault="008210AC" w:rsidP="008210AC">
            <w:pPr>
              <w:pStyle w:val="TableParagraph"/>
              <w:ind w:left="50"/>
            </w:pPr>
            <w:r>
              <w:t>Cut-off List Administrative Fee:</w:t>
            </w:r>
          </w:p>
        </w:tc>
        <w:tc>
          <w:tcPr>
            <w:tcW w:w="1752" w:type="dxa"/>
          </w:tcPr>
          <w:p w:rsidR="008210AC" w:rsidRDefault="008210AC" w:rsidP="008210AC">
            <w:pPr>
              <w:pStyle w:val="TableParagraph"/>
              <w:ind w:left="416"/>
            </w:pPr>
            <w:r>
              <w:t>$15</w:t>
            </w:r>
          </w:p>
        </w:tc>
      </w:tr>
      <w:tr w:rsidR="008210AC" w:rsidTr="008210AC">
        <w:trPr>
          <w:trHeight w:val="268"/>
        </w:trPr>
        <w:tc>
          <w:tcPr>
            <w:tcW w:w="3234" w:type="dxa"/>
          </w:tcPr>
          <w:p w:rsidR="008210AC" w:rsidRDefault="008210AC" w:rsidP="008210AC">
            <w:pPr>
              <w:pStyle w:val="TableParagraph"/>
              <w:ind w:left="50"/>
            </w:pPr>
            <w:r>
              <w:t>After Hours Reconnect Fee:</w:t>
            </w:r>
          </w:p>
        </w:tc>
        <w:tc>
          <w:tcPr>
            <w:tcW w:w="1752" w:type="dxa"/>
          </w:tcPr>
          <w:p w:rsidR="008210AC" w:rsidRDefault="008210AC" w:rsidP="008210AC">
            <w:pPr>
              <w:pStyle w:val="TableParagraph"/>
              <w:ind w:left="416"/>
            </w:pPr>
            <w:r>
              <w:t>125</w:t>
            </w:r>
          </w:p>
        </w:tc>
      </w:tr>
      <w:tr w:rsidR="008210AC" w:rsidTr="008210AC">
        <w:trPr>
          <w:trHeight w:val="403"/>
        </w:trPr>
        <w:tc>
          <w:tcPr>
            <w:tcW w:w="3234" w:type="dxa"/>
          </w:tcPr>
          <w:p w:rsidR="008210AC" w:rsidRDefault="008210AC" w:rsidP="008210AC">
            <w:pPr>
              <w:pStyle w:val="TableParagraph"/>
              <w:ind w:left="50"/>
            </w:pPr>
            <w:r>
              <w:t>Administrative Fee:</w:t>
            </w:r>
          </w:p>
        </w:tc>
        <w:tc>
          <w:tcPr>
            <w:tcW w:w="1752" w:type="dxa"/>
          </w:tcPr>
          <w:p w:rsidR="008210AC" w:rsidRDefault="008210AC" w:rsidP="008210AC">
            <w:pPr>
              <w:pStyle w:val="TableParagraph"/>
              <w:ind w:left="416"/>
            </w:pPr>
            <w:r>
              <w:t>$40</w:t>
            </w:r>
          </w:p>
        </w:tc>
      </w:tr>
      <w:tr w:rsidR="008210AC" w:rsidTr="008210AC">
        <w:trPr>
          <w:trHeight w:val="671"/>
        </w:trPr>
        <w:tc>
          <w:tcPr>
            <w:tcW w:w="3234" w:type="dxa"/>
          </w:tcPr>
          <w:p w:rsidR="008210AC" w:rsidRDefault="008210AC" w:rsidP="008210AC">
            <w:pPr>
              <w:pStyle w:val="TableParagraph"/>
              <w:spacing w:before="114" w:line="240" w:lineRule="auto"/>
              <w:ind w:left="50" w:right="749"/>
            </w:pPr>
            <w:r>
              <w:rPr>
                <w:u w:val="single"/>
              </w:rPr>
              <w:t>Minimum Availability Fees:</w:t>
            </w:r>
            <w:r>
              <w:t xml:space="preserve"> Residential:</w:t>
            </w:r>
          </w:p>
        </w:tc>
        <w:tc>
          <w:tcPr>
            <w:tcW w:w="1752" w:type="dxa"/>
          </w:tcPr>
          <w:p w:rsidR="008210AC" w:rsidRDefault="008210AC" w:rsidP="008210AC">
            <w:pPr>
              <w:pStyle w:val="TableParagraph"/>
              <w:spacing w:before="4" w:line="240" w:lineRule="auto"/>
              <w:rPr>
                <w:i/>
                <w:sz w:val="31"/>
              </w:rPr>
            </w:pPr>
          </w:p>
          <w:p w:rsidR="008210AC" w:rsidRDefault="008210AC" w:rsidP="008210AC">
            <w:pPr>
              <w:pStyle w:val="TableParagraph"/>
              <w:spacing w:before="1" w:line="240" w:lineRule="auto"/>
              <w:ind w:left="416"/>
            </w:pPr>
            <w:r>
              <w:t>$8.70</w:t>
            </w:r>
          </w:p>
        </w:tc>
      </w:tr>
      <w:tr w:rsidR="008210AC" w:rsidTr="008210AC">
        <w:trPr>
          <w:trHeight w:val="267"/>
        </w:trPr>
        <w:tc>
          <w:tcPr>
            <w:tcW w:w="3234" w:type="dxa"/>
          </w:tcPr>
          <w:p w:rsidR="008210AC" w:rsidRDefault="008210AC" w:rsidP="008210AC">
            <w:pPr>
              <w:pStyle w:val="TableParagraph"/>
              <w:spacing w:line="248" w:lineRule="exact"/>
              <w:ind w:left="50"/>
            </w:pPr>
            <w:r>
              <w:t>Small Commercial:</w:t>
            </w:r>
          </w:p>
        </w:tc>
        <w:tc>
          <w:tcPr>
            <w:tcW w:w="1752" w:type="dxa"/>
          </w:tcPr>
          <w:p w:rsidR="008210AC" w:rsidRDefault="008210AC" w:rsidP="008210AC">
            <w:pPr>
              <w:pStyle w:val="TableParagraph"/>
              <w:spacing w:line="248" w:lineRule="exact"/>
              <w:ind w:left="416"/>
            </w:pPr>
            <w:r>
              <w:t>$9.10</w:t>
            </w:r>
          </w:p>
        </w:tc>
      </w:tr>
      <w:tr w:rsidR="008210AC" w:rsidTr="008210AC">
        <w:trPr>
          <w:trHeight w:val="267"/>
        </w:trPr>
        <w:tc>
          <w:tcPr>
            <w:tcW w:w="3234" w:type="dxa"/>
          </w:tcPr>
          <w:p w:rsidR="008210AC" w:rsidRDefault="008210AC" w:rsidP="008210AC">
            <w:pPr>
              <w:pStyle w:val="TableParagraph"/>
              <w:spacing w:line="247" w:lineRule="exact"/>
              <w:ind w:left="50"/>
            </w:pPr>
            <w:r>
              <w:t>Industrial- Firm:</w:t>
            </w:r>
          </w:p>
        </w:tc>
        <w:tc>
          <w:tcPr>
            <w:tcW w:w="1752" w:type="dxa"/>
          </w:tcPr>
          <w:p w:rsidR="008210AC" w:rsidRDefault="008210AC" w:rsidP="008210AC">
            <w:pPr>
              <w:pStyle w:val="TableParagraph"/>
              <w:spacing w:line="247" w:lineRule="exact"/>
              <w:ind w:left="416"/>
            </w:pPr>
            <w:r>
              <w:t>$200</w:t>
            </w:r>
          </w:p>
        </w:tc>
      </w:tr>
      <w:tr w:rsidR="008210AC" w:rsidTr="008210AC">
        <w:trPr>
          <w:trHeight w:val="245"/>
        </w:trPr>
        <w:tc>
          <w:tcPr>
            <w:tcW w:w="3234" w:type="dxa"/>
          </w:tcPr>
          <w:p w:rsidR="008210AC" w:rsidRDefault="008210AC" w:rsidP="008210AC">
            <w:pPr>
              <w:pStyle w:val="TableParagraph"/>
              <w:spacing w:line="225" w:lineRule="exact"/>
              <w:ind w:left="50"/>
            </w:pPr>
            <w:r>
              <w:t>Industrial- Interruptible:</w:t>
            </w:r>
          </w:p>
        </w:tc>
        <w:tc>
          <w:tcPr>
            <w:tcW w:w="1752" w:type="dxa"/>
          </w:tcPr>
          <w:p w:rsidR="008210AC" w:rsidRDefault="008210AC" w:rsidP="008210AC">
            <w:pPr>
              <w:pStyle w:val="TableParagraph"/>
              <w:spacing w:line="225" w:lineRule="exact"/>
              <w:ind w:left="416"/>
            </w:pPr>
            <w:r>
              <w:t>$400</w:t>
            </w:r>
          </w:p>
        </w:tc>
      </w:tr>
    </w:tbl>
    <w:p w:rsidR="008210AC" w:rsidRDefault="008210AC" w:rsidP="008210AC">
      <w:pPr>
        <w:pStyle w:val="BodyText"/>
        <w:spacing w:before="9"/>
        <w:rPr>
          <w:i/>
          <w:sz w:val="17"/>
        </w:rPr>
      </w:pPr>
    </w:p>
    <w:p w:rsidR="008210AC" w:rsidRDefault="008210AC" w:rsidP="008210AC">
      <w:pPr>
        <w:pStyle w:val="BodyText"/>
        <w:spacing w:before="56"/>
        <w:ind w:left="160"/>
      </w:pPr>
      <w:r>
        <w:rPr>
          <w:u w:val="single"/>
        </w:rPr>
        <w:t>Section 22:</w:t>
      </w:r>
      <w:r>
        <w:t xml:space="preserve"> Planning / Zoning and other Fees shall be charged as follows after July 1, 2019</w:t>
      </w:r>
    </w:p>
    <w:p w:rsidR="008210AC" w:rsidRDefault="008210AC" w:rsidP="008210AC">
      <w:pPr>
        <w:pStyle w:val="BodyText"/>
        <w:spacing w:before="5"/>
        <w:rPr>
          <w:sz w:val="17"/>
        </w:rPr>
      </w:pPr>
    </w:p>
    <w:p w:rsidR="008210AC" w:rsidRDefault="008210AC" w:rsidP="008210AC">
      <w:pPr>
        <w:pStyle w:val="BodyText"/>
        <w:spacing w:before="57" w:after="44"/>
        <w:ind w:left="880"/>
      </w:pPr>
      <w:r>
        <w:rPr>
          <w:u w:val="single"/>
        </w:rPr>
        <w:t>Board of Adjustments:</w:t>
      </w:r>
    </w:p>
    <w:tbl>
      <w:tblPr>
        <w:tblW w:w="0" w:type="auto"/>
        <w:tblInd w:w="2277" w:type="dxa"/>
        <w:tblLayout w:type="fixed"/>
        <w:tblCellMar>
          <w:left w:w="0" w:type="dxa"/>
          <w:right w:w="0" w:type="dxa"/>
        </w:tblCellMar>
        <w:tblLook w:val="01E0" w:firstRow="1" w:lastRow="1" w:firstColumn="1" w:lastColumn="1" w:noHBand="0" w:noVBand="0"/>
      </w:tblPr>
      <w:tblGrid>
        <w:gridCol w:w="2882"/>
        <w:gridCol w:w="1266"/>
      </w:tblGrid>
      <w:tr w:rsidR="008210AC" w:rsidTr="008210AC">
        <w:trPr>
          <w:trHeight w:val="244"/>
        </w:trPr>
        <w:tc>
          <w:tcPr>
            <w:tcW w:w="2882" w:type="dxa"/>
          </w:tcPr>
          <w:p w:rsidR="008210AC" w:rsidRDefault="008210AC" w:rsidP="008210AC">
            <w:pPr>
              <w:pStyle w:val="TableParagraph"/>
              <w:spacing w:line="225" w:lineRule="exact"/>
              <w:ind w:left="50"/>
            </w:pPr>
            <w:r>
              <w:t>Variance Request</w:t>
            </w:r>
          </w:p>
        </w:tc>
        <w:tc>
          <w:tcPr>
            <w:tcW w:w="1266" w:type="dxa"/>
          </w:tcPr>
          <w:p w:rsidR="008210AC" w:rsidRDefault="008210AC" w:rsidP="008210AC">
            <w:pPr>
              <w:pStyle w:val="TableParagraph"/>
              <w:spacing w:line="225" w:lineRule="exact"/>
              <w:ind w:right="47"/>
              <w:jc w:val="right"/>
            </w:pPr>
            <w:r>
              <w:t>$150</w:t>
            </w:r>
          </w:p>
        </w:tc>
      </w:tr>
      <w:tr w:rsidR="008210AC" w:rsidTr="008210AC">
        <w:trPr>
          <w:trHeight w:val="268"/>
        </w:trPr>
        <w:tc>
          <w:tcPr>
            <w:tcW w:w="2882" w:type="dxa"/>
          </w:tcPr>
          <w:p w:rsidR="008210AC" w:rsidRDefault="008210AC" w:rsidP="008210AC">
            <w:pPr>
              <w:pStyle w:val="TableParagraph"/>
              <w:ind w:left="50"/>
            </w:pPr>
            <w:r>
              <w:t>Conditional Use Permit</w:t>
            </w:r>
          </w:p>
        </w:tc>
        <w:tc>
          <w:tcPr>
            <w:tcW w:w="1266" w:type="dxa"/>
          </w:tcPr>
          <w:p w:rsidR="008210AC" w:rsidRDefault="008210AC" w:rsidP="008210AC">
            <w:pPr>
              <w:pStyle w:val="TableParagraph"/>
              <w:ind w:right="47"/>
              <w:jc w:val="right"/>
            </w:pPr>
            <w:r>
              <w:t>$150</w:t>
            </w:r>
          </w:p>
        </w:tc>
      </w:tr>
      <w:tr w:rsidR="008210AC" w:rsidTr="008210AC">
        <w:trPr>
          <w:trHeight w:val="268"/>
        </w:trPr>
        <w:tc>
          <w:tcPr>
            <w:tcW w:w="2882" w:type="dxa"/>
          </w:tcPr>
          <w:p w:rsidR="008210AC" w:rsidRDefault="008210AC" w:rsidP="008210AC">
            <w:pPr>
              <w:pStyle w:val="TableParagraph"/>
              <w:ind w:left="50"/>
            </w:pPr>
            <w:r>
              <w:t>Appeal</w:t>
            </w:r>
          </w:p>
        </w:tc>
        <w:tc>
          <w:tcPr>
            <w:tcW w:w="1266" w:type="dxa"/>
          </w:tcPr>
          <w:p w:rsidR="008210AC" w:rsidRDefault="008210AC" w:rsidP="008210AC">
            <w:pPr>
              <w:pStyle w:val="TableParagraph"/>
              <w:ind w:right="47"/>
              <w:jc w:val="right"/>
            </w:pPr>
            <w:r>
              <w:t>$150</w:t>
            </w:r>
          </w:p>
        </w:tc>
      </w:tr>
      <w:tr w:rsidR="008210AC" w:rsidTr="008210AC">
        <w:trPr>
          <w:trHeight w:val="244"/>
        </w:trPr>
        <w:tc>
          <w:tcPr>
            <w:tcW w:w="2882" w:type="dxa"/>
          </w:tcPr>
          <w:p w:rsidR="008210AC" w:rsidRDefault="008210AC" w:rsidP="008210AC">
            <w:pPr>
              <w:pStyle w:val="TableParagraph"/>
              <w:spacing w:line="225" w:lineRule="exact"/>
              <w:ind w:left="50"/>
            </w:pPr>
            <w:r>
              <w:t>Special Exception</w:t>
            </w:r>
          </w:p>
        </w:tc>
        <w:tc>
          <w:tcPr>
            <w:tcW w:w="1266" w:type="dxa"/>
          </w:tcPr>
          <w:p w:rsidR="008210AC" w:rsidRDefault="008210AC" w:rsidP="008210AC">
            <w:pPr>
              <w:pStyle w:val="TableParagraph"/>
              <w:spacing w:line="225" w:lineRule="exact"/>
              <w:ind w:right="47"/>
              <w:jc w:val="right"/>
            </w:pPr>
            <w:r>
              <w:t>$150</w:t>
            </w:r>
          </w:p>
        </w:tc>
      </w:tr>
    </w:tbl>
    <w:p w:rsidR="008210AC" w:rsidRDefault="008210AC" w:rsidP="008210AC">
      <w:pPr>
        <w:pStyle w:val="BodyText"/>
        <w:spacing w:before="6"/>
        <w:rPr>
          <w:sz w:val="17"/>
        </w:rPr>
      </w:pPr>
    </w:p>
    <w:p w:rsidR="008210AC" w:rsidRDefault="008210AC" w:rsidP="008210AC">
      <w:pPr>
        <w:rPr>
          <w:sz w:val="17"/>
        </w:rPr>
        <w:sectPr w:rsidR="008210AC">
          <w:type w:val="continuous"/>
          <w:pgSz w:w="12240" w:h="15840"/>
          <w:pgMar w:top="1440" w:right="1320" w:bottom="280" w:left="1280" w:header="720" w:footer="720" w:gutter="0"/>
          <w:cols w:space="720"/>
        </w:sectPr>
      </w:pPr>
    </w:p>
    <w:p w:rsidR="008210AC" w:rsidRDefault="008210AC" w:rsidP="008210AC">
      <w:pPr>
        <w:pStyle w:val="BodyText"/>
        <w:spacing w:before="57"/>
        <w:ind w:left="880"/>
      </w:pPr>
      <w:r>
        <w:rPr>
          <w:u w:val="single"/>
        </w:rPr>
        <w:t>Planning Board:</w:t>
      </w:r>
    </w:p>
    <w:p w:rsidR="008210AC" w:rsidRDefault="008210AC" w:rsidP="008210AC">
      <w:pPr>
        <w:pStyle w:val="BodyText"/>
        <w:spacing w:before="8"/>
        <w:rPr>
          <w:sz w:val="26"/>
        </w:rPr>
      </w:pPr>
      <w:r>
        <w:br w:type="column"/>
      </w:r>
    </w:p>
    <w:p w:rsidR="008210AC" w:rsidRDefault="008210AC" w:rsidP="008210AC">
      <w:pPr>
        <w:pStyle w:val="BodyText"/>
        <w:tabs>
          <w:tab w:val="left" w:pos="3588"/>
        </w:tabs>
        <w:ind w:left="-13" w:right="3269"/>
      </w:pPr>
      <w:r>
        <w:t>Zoning Map</w:t>
      </w:r>
      <w:r>
        <w:rPr>
          <w:spacing w:val="-3"/>
        </w:rPr>
        <w:t xml:space="preserve"> </w:t>
      </w:r>
      <w:r>
        <w:t>Amendment</w:t>
      </w:r>
      <w:r>
        <w:rPr>
          <w:spacing w:val="-2"/>
        </w:rPr>
        <w:t xml:space="preserve"> </w:t>
      </w:r>
      <w:r>
        <w:t>(Rezoning)</w:t>
      </w:r>
      <w:r>
        <w:tab/>
      </w:r>
      <w:r>
        <w:rPr>
          <w:spacing w:val="-5"/>
        </w:rPr>
        <w:t xml:space="preserve">$300 </w:t>
      </w:r>
      <w:r>
        <w:t>Text</w:t>
      </w:r>
      <w:r>
        <w:rPr>
          <w:spacing w:val="-3"/>
        </w:rPr>
        <w:t xml:space="preserve"> </w:t>
      </w:r>
      <w:r>
        <w:t>Amendment</w:t>
      </w:r>
      <w:r>
        <w:tab/>
      </w:r>
      <w:r>
        <w:rPr>
          <w:spacing w:val="-5"/>
        </w:rPr>
        <w:t>$300</w:t>
      </w:r>
    </w:p>
    <w:p w:rsidR="008210AC" w:rsidRDefault="008210AC" w:rsidP="008210AC">
      <w:pPr>
        <w:sectPr w:rsidR="008210AC">
          <w:type w:val="continuous"/>
          <w:pgSz w:w="12240" w:h="15840"/>
          <w:pgMar w:top="1440" w:right="1320" w:bottom="280" w:left="1280" w:header="720" w:footer="720" w:gutter="0"/>
          <w:cols w:num="2" w:space="720" w:equalWidth="0">
            <w:col w:w="2294" w:space="40"/>
            <w:col w:w="7306"/>
          </w:cols>
        </w:sectPr>
      </w:pPr>
    </w:p>
    <w:p w:rsidR="008210AC" w:rsidRDefault="008210AC" w:rsidP="008210AC">
      <w:pPr>
        <w:pStyle w:val="BodyText"/>
        <w:spacing w:before="6"/>
        <w:rPr>
          <w:sz w:val="17"/>
        </w:rPr>
      </w:pPr>
    </w:p>
    <w:p w:rsidR="008210AC" w:rsidRDefault="008210AC" w:rsidP="008210AC">
      <w:pPr>
        <w:pStyle w:val="BodyText"/>
        <w:spacing w:before="56" w:after="45"/>
        <w:ind w:left="880"/>
      </w:pPr>
      <w:r>
        <w:rPr>
          <w:u w:val="single"/>
        </w:rPr>
        <w:t>Zoning Fees:</w:t>
      </w:r>
    </w:p>
    <w:tbl>
      <w:tblPr>
        <w:tblW w:w="0" w:type="auto"/>
        <w:tblInd w:w="837" w:type="dxa"/>
        <w:tblLayout w:type="fixed"/>
        <w:tblCellMar>
          <w:left w:w="0" w:type="dxa"/>
          <w:right w:w="0" w:type="dxa"/>
        </w:tblCellMar>
        <w:tblLook w:val="01E0" w:firstRow="1" w:lastRow="1" w:firstColumn="1" w:lastColumn="1" w:noHBand="0" w:noVBand="0"/>
      </w:tblPr>
      <w:tblGrid>
        <w:gridCol w:w="3511"/>
        <w:gridCol w:w="2257"/>
      </w:tblGrid>
      <w:tr w:rsidR="008210AC" w:rsidTr="008210AC">
        <w:trPr>
          <w:trHeight w:val="244"/>
        </w:trPr>
        <w:tc>
          <w:tcPr>
            <w:tcW w:w="3511" w:type="dxa"/>
          </w:tcPr>
          <w:p w:rsidR="008210AC" w:rsidRDefault="008210AC" w:rsidP="008210AC">
            <w:pPr>
              <w:pStyle w:val="TableParagraph"/>
              <w:spacing w:line="225" w:lineRule="exact"/>
              <w:ind w:left="50"/>
            </w:pPr>
            <w:r>
              <w:t>New Single Family</w:t>
            </w:r>
          </w:p>
        </w:tc>
        <w:tc>
          <w:tcPr>
            <w:tcW w:w="2257" w:type="dxa"/>
          </w:tcPr>
          <w:p w:rsidR="008210AC" w:rsidRDefault="008210AC" w:rsidP="008210AC">
            <w:pPr>
              <w:pStyle w:val="TableParagraph"/>
              <w:spacing w:line="225" w:lineRule="exact"/>
              <w:ind w:left="139"/>
            </w:pPr>
            <w:r>
              <w:t>$100</w:t>
            </w:r>
          </w:p>
        </w:tc>
      </w:tr>
      <w:tr w:rsidR="008210AC" w:rsidTr="008210AC">
        <w:trPr>
          <w:trHeight w:val="268"/>
        </w:trPr>
        <w:tc>
          <w:tcPr>
            <w:tcW w:w="3511" w:type="dxa"/>
          </w:tcPr>
          <w:p w:rsidR="008210AC" w:rsidRDefault="008210AC" w:rsidP="008210AC">
            <w:pPr>
              <w:pStyle w:val="TableParagraph"/>
              <w:ind w:left="50"/>
            </w:pPr>
            <w:r>
              <w:t>Additions</w:t>
            </w:r>
          </w:p>
        </w:tc>
        <w:tc>
          <w:tcPr>
            <w:tcW w:w="2257" w:type="dxa"/>
          </w:tcPr>
          <w:p w:rsidR="008210AC" w:rsidRDefault="008210AC" w:rsidP="008210AC">
            <w:pPr>
              <w:pStyle w:val="TableParagraph"/>
              <w:ind w:left="139"/>
            </w:pPr>
            <w:r>
              <w:t>$20-50</w:t>
            </w:r>
          </w:p>
        </w:tc>
      </w:tr>
      <w:tr w:rsidR="008210AC" w:rsidTr="008210AC">
        <w:trPr>
          <w:trHeight w:val="268"/>
        </w:trPr>
        <w:tc>
          <w:tcPr>
            <w:tcW w:w="3511" w:type="dxa"/>
          </w:tcPr>
          <w:p w:rsidR="008210AC" w:rsidRDefault="008210AC" w:rsidP="008210AC">
            <w:pPr>
              <w:pStyle w:val="TableParagraph"/>
              <w:ind w:left="50"/>
            </w:pPr>
            <w:r>
              <w:t>Accessory</w:t>
            </w:r>
          </w:p>
        </w:tc>
        <w:tc>
          <w:tcPr>
            <w:tcW w:w="2257" w:type="dxa"/>
          </w:tcPr>
          <w:p w:rsidR="008210AC" w:rsidRDefault="008210AC" w:rsidP="008210AC">
            <w:pPr>
              <w:pStyle w:val="TableParagraph"/>
              <w:ind w:left="139"/>
            </w:pPr>
            <w:r>
              <w:t>$40</w:t>
            </w:r>
          </w:p>
        </w:tc>
      </w:tr>
      <w:tr w:rsidR="008210AC" w:rsidTr="008210AC">
        <w:trPr>
          <w:trHeight w:val="267"/>
        </w:trPr>
        <w:tc>
          <w:tcPr>
            <w:tcW w:w="3511" w:type="dxa"/>
          </w:tcPr>
          <w:p w:rsidR="008210AC" w:rsidRDefault="008210AC" w:rsidP="008210AC">
            <w:pPr>
              <w:pStyle w:val="TableParagraph"/>
              <w:spacing w:line="248" w:lineRule="exact"/>
              <w:ind w:left="50"/>
            </w:pPr>
            <w:r>
              <w:t>New Multi-Family</w:t>
            </w:r>
          </w:p>
        </w:tc>
        <w:tc>
          <w:tcPr>
            <w:tcW w:w="2257" w:type="dxa"/>
          </w:tcPr>
          <w:p w:rsidR="008210AC" w:rsidRDefault="008210AC" w:rsidP="008210AC">
            <w:pPr>
              <w:pStyle w:val="TableParagraph"/>
              <w:spacing w:line="248" w:lineRule="exact"/>
              <w:ind w:left="139"/>
            </w:pPr>
            <w:r>
              <w:t>$150+$5/Unit</w:t>
            </w:r>
          </w:p>
        </w:tc>
      </w:tr>
      <w:tr w:rsidR="008210AC" w:rsidTr="008210AC">
        <w:trPr>
          <w:trHeight w:val="267"/>
        </w:trPr>
        <w:tc>
          <w:tcPr>
            <w:tcW w:w="3511" w:type="dxa"/>
          </w:tcPr>
          <w:p w:rsidR="008210AC" w:rsidRDefault="008210AC" w:rsidP="008210AC">
            <w:pPr>
              <w:pStyle w:val="TableParagraph"/>
              <w:spacing w:line="247" w:lineRule="exact"/>
              <w:ind w:left="50"/>
            </w:pPr>
            <w:r>
              <w:t>Non-Residential: Up to 5,000 Sq. Ft</w:t>
            </w:r>
          </w:p>
        </w:tc>
        <w:tc>
          <w:tcPr>
            <w:tcW w:w="2257" w:type="dxa"/>
          </w:tcPr>
          <w:p w:rsidR="008210AC" w:rsidRDefault="008210AC" w:rsidP="008210AC">
            <w:pPr>
              <w:pStyle w:val="TableParagraph"/>
              <w:spacing w:line="247" w:lineRule="exact"/>
              <w:ind w:left="139"/>
            </w:pPr>
            <w:r>
              <w:t>$100</w:t>
            </w:r>
          </w:p>
        </w:tc>
      </w:tr>
      <w:tr w:rsidR="008210AC" w:rsidTr="008210AC">
        <w:trPr>
          <w:trHeight w:val="268"/>
        </w:trPr>
        <w:tc>
          <w:tcPr>
            <w:tcW w:w="3511" w:type="dxa"/>
          </w:tcPr>
          <w:p w:rsidR="008210AC" w:rsidRDefault="008210AC" w:rsidP="008210AC">
            <w:pPr>
              <w:pStyle w:val="TableParagraph"/>
              <w:ind w:left="50"/>
            </w:pPr>
            <w:r>
              <w:t>Non-Residential: 5,001-10,000 Sq. Ft.</w:t>
            </w:r>
          </w:p>
        </w:tc>
        <w:tc>
          <w:tcPr>
            <w:tcW w:w="2257" w:type="dxa"/>
          </w:tcPr>
          <w:p w:rsidR="008210AC" w:rsidRDefault="008210AC" w:rsidP="008210AC">
            <w:pPr>
              <w:pStyle w:val="TableParagraph"/>
              <w:ind w:left="139"/>
            </w:pPr>
            <w:r>
              <w:t>$200</w:t>
            </w:r>
          </w:p>
        </w:tc>
      </w:tr>
      <w:tr w:rsidR="008210AC" w:rsidTr="008210AC">
        <w:trPr>
          <w:trHeight w:val="268"/>
        </w:trPr>
        <w:tc>
          <w:tcPr>
            <w:tcW w:w="3511" w:type="dxa"/>
          </w:tcPr>
          <w:p w:rsidR="008210AC" w:rsidRDefault="008210AC" w:rsidP="008210AC">
            <w:pPr>
              <w:pStyle w:val="TableParagraph"/>
              <w:ind w:left="50"/>
            </w:pPr>
            <w:r>
              <w:t>Non-Residential: 10,001 Sq. Ft. Plus</w:t>
            </w:r>
          </w:p>
        </w:tc>
        <w:tc>
          <w:tcPr>
            <w:tcW w:w="2257" w:type="dxa"/>
          </w:tcPr>
          <w:p w:rsidR="008210AC" w:rsidRDefault="008210AC" w:rsidP="008210AC">
            <w:pPr>
              <w:pStyle w:val="TableParagraph"/>
              <w:ind w:left="139"/>
            </w:pPr>
            <w:r>
              <w:t>$200 + $1/1,000 Sq. Ft.</w:t>
            </w:r>
          </w:p>
        </w:tc>
      </w:tr>
      <w:tr w:rsidR="008210AC" w:rsidTr="008210AC">
        <w:trPr>
          <w:trHeight w:val="244"/>
        </w:trPr>
        <w:tc>
          <w:tcPr>
            <w:tcW w:w="3511" w:type="dxa"/>
          </w:tcPr>
          <w:p w:rsidR="008210AC" w:rsidRDefault="008210AC" w:rsidP="008210AC">
            <w:pPr>
              <w:pStyle w:val="TableParagraph"/>
              <w:spacing w:line="225" w:lineRule="exact"/>
              <w:ind w:left="50"/>
            </w:pPr>
            <w:r>
              <w:t>Subdivision Plat- Minor</w:t>
            </w:r>
          </w:p>
        </w:tc>
        <w:tc>
          <w:tcPr>
            <w:tcW w:w="2257" w:type="dxa"/>
          </w:tcPr>
          <w:p w:rsidR="008210AC" w:rsidRDefault="008210AC" w:rsidP="008210AC">
            <w:pPr>
              <w:pStyle w:val="TableParagraph"/>
              <w:spacing w:line="225" w:lineRule="exact"/>
              <w:ind w:left="139"/>
            </w:pPr>
            <w:r>
              <w:t>$50</w:t>
            </w:r>
          </w:p>
        </w:tc>
      </w:tr>
    </w:tbl>
    <w:p w:rsidR="008210AC" w:rsidRDefault="008210AC" w:rsidP="008210AC">
      <w:pPr>
        <w:pStyle w:val="BodyText"/>
        <w:spacing w:before="56"/>
        <w:ind w:left="160"/>
        <w:rPr>
          <w:u w:val="single"/>
        </w:rPr>
      </w:pPr>
    </w:p>
    <w:tbl>
      <w:tblPr>
        <w:tblpPr w:leftFromText="180" w:rightFromText="180" w:vertAnchor="text" w:horzAnchor="page" w:tblpX="2311" w:tblpY="28"/>
        <w:tblW w:w="0" w:type="auto"/>
        <w:tblLayout w:type="fixed"/>
        <w:tblCellMar>
          <w:left w:w="0" w:type="dxa"/>
          <w:right w:w="0" w:type="dxa"/>
        </w:tblCellMar>
        <w:tblLook w:val="01E0" w:firstRow="1" w:lastRow="1" w:firstColumn="1" w:lastColumn="1" w:noHBand="0" w:noVBand="0"/>
      </w:tblPr>
      <w:tblGrid>
        <w:gridCol w:w="1289"/>
        <w:gridCol w:w="3458"/>
        <w:gridCol w:w="1540"/>
      </w:tblGrid>
      <w:tr w:rsidR="008210AC" w:rsidTr="008210AC">
        <w:trPr>
          <w:trHeight w:val="513"/>
        </w:trPr>
        <w:tc>
          <w:tcPr>
            <w:tcW w:w="1289" w:type="dxa"/>
            <w:vMerge w:val="restart"/>
          </w:tcPr>
          <w:p w:rsidR="008210AC" w:rsidRDefault="008210AC" w:rsidP="008210AC">
            <w:pPr>
              <w:pStyle w:val="TableParagraph"/>
              <w:spacing w:line="240" w:lineRule="auto"/>
              <w:rPr>
                <w:rFonts w:ascii="Times New Roman"/>
              </w:rPr>
            </w:pPr>
          </w:p>
        </w:tc>
        <w:tc>
          <w:tcPr>
            <w:tcW w:w="3458" w:type="dxa"/>
          </w:tcPr>
          <w:p w:rsidR="008210AC" w:rsidRDefault="008210AC" w:rsidP="008210AC">
            <w:pPr>
              <w:pStyle w:val="TableParagraph"/>
              <w:spacing w:line="225" w:lineRule="exact"/>
              <w:ind w:left="201"/>
            </w:pPr>
            <w:r>
              <w:t>Subdivision Plat- Major</w:t>
            </w:r>
          </w:p>
          <w:p w:rsidR="008210AC" w:rsidRDefault="008210AC" w:rsidP="008210AC">
            <w:pPr>
              <w:pStyle w:val="TableParagraph"/>
              <w:spacing w:line="240" w:lineRule="auto"/>
              <w:ind w:left="201"/>
            </w:pPr>
            <w:r>
              <w:t>Recombination Plat</w:t>
            </w:r>
          </w:p>
        </w:tc>
        <w:tc>
          <w:tcPr>
            <w:tcW w:w="1540" w:type="dxa"/>
          </w:tcPr>
          <w:p w:rsidR="008210AC" w:rsidRDefault="008210AC" w:rsidP="008210AC">
            <w:pPr>
              <w:pStyle w:val="TableParagraph"/>
              <w:spacing w:line="225" w:lineRule="exact"/>
              <w:ind w:left="343"/>
            </w:pPr>
            <w:r>
              <w:t>$100+$5/Lot</w:t>
            </w:r>
          </w:p>
          <w:p w:rsidR="008210AC" w:rsidRDefault="008210AC" w:rsidP="008210AC">
            <w:pPr>
              <w:pStyle w:val="TableParagraph"/>
              <w:spacing w:line="240" w:lineRule="auto"/>
              <w:ind w:left="343"/>
            </w:pPr>
            <w:r>
              <w:t>$50</w:t>
            </w:r>
          </w:p>
        </w:tc>
      </w:tr>
      <w:tr w:rsidR="008210AC" w:rsidTr="008210AC">
        <w:trPr>
          <w:trHeight w:val="268"/>
        </w:trPr>
        <w:tc>
          <w:tcPr>
            <w:tcW w:w="1289" w:type="dxa"/>
            <w:vMerge/>
            <w:tcBorders>
              <w:top w:val="nil"/>
            </w:tcBorders>
          </w:tcPr>
          <w:p w:rsidR="008210AC" w:rsidRDefault="008210AC" w:rsidP="008210AC">
            <w:pPr>
              <w:rPr>
                <w:sz w:val="2"/>
                <w:szCs w:val="2"/>
              </w:rPr>
            </w:pPr>
          </w:p>
        </w:tc>
        <w:tc>
          <w:tcPr>
            <w:tcW w:w="3458" w:type="dxa"/>
          </w:tcPr>
          <w:p w:rsidR="008210AC" w:rsidRDefault="008210AC" w:rsidP="008210AC">
            <w:pPr>
              <w:pStyle w:val="TableParagraph"/>
              <w:ind w:left="201"/>
            </w:pPr>
            <w:r>
              <w:t>Sign Permit</w:t>
            </w:r>
          </w:p>
        </w:tc>
        <w:tc>
          <w:tcPr>
            <w:tcW w:w="1540" w:type="dxa"/>
          </w:tcPr>
          <w:p w:rsidR="008210AC" w:rsidRDefault="008210AC" w:rsidP="008210AC">
            <w:pPr>
              <w:pStyle w:val="TableParagraph"/>
              <w:ind w:left="343"/>
            </w:pPr>
            <w:r>
              <w:t>$50</w:t>
            </w:r>
          </w:p>
        </w:tc>
      </w:tr>
      <w:tr w:rsidR="008210AC" w:rsidTr="008210AC">
        <w:trPr>
          <w:trHeight w:val="267"/>
        </w:trPr>
        <w:tc>
          <w:tcPr>
            <w:tcW w:w="1289" w:type="dxa"/>
            <w:vMerge/>
            <w:tcBorders>
              <w:top w:val="nil"/>
            </w:tcBorders>
          </w:tcPr>
          <w:p w:rsidR="008210AC" w:rsidRDefault="008210AC" w:rsidP="008210AC">
            <w:pPr>
              <w:rPr>
                <w:sz w:val="2"/>
                <w:szCs w:val="2"/>
              </w:rPr>
            </w:pPr>
          </w:p>
        </w:tc>
        <w:tc>
          <w:tcPr>
            <w:tcW w:w="3458" w:type="dxa"/>
          </w:tcPr>
          <w:p w:rsidR="008210AC" w:rsidRDefault="008210AC" w:rsidP="008210AC">
            <w:pPr>
              <w:pStyle w:val="TableParagraph"/>
              <w:spacing w:line="248" w:lineRule="exact"/>
              <w:ind w:left="201"/>
            </w:pPr>
            <w:r>
              <w:t>Accessory (No Building Permit)</w:t>
            </w:r>
          </w:p>
        </w:tc>
        <w:tc>
          <w:tcPr>
            <w:tcW w:w="1540" w:type="dxa"/>
          </w:tcPr>
          <w:p w:rsidR="008210AC" w:rsidRDefault="008210AC" w:rsidP="008210AC">
            <w:pPr>
              <w:pStyle w:val="TableParagraph"/>
              <w:spacing w:line="248" w:lineRule="exact"/>
              <w:ind w:left="343"/>
            </w:pPr>
            <w:r>
              <w:t>$25</w:t>
            </w:r>
          </w:p>
        </w:tc>
      </w:tr>
      <w:tr w:rsidR="008210AC" w:rsidTr="008210AC">
        <w:trPr>
          <w:trHeight w:val="401"/>
        </w:trPr>
        <w:tc>
          <w:tcPr>
            <w:tcW w:w="1289" w:type="dxa"/>
            <w:vMerge/>
            <w:tcBorders>
              <w:top w:val="nil"/>
            </w:tcBorders>
          </w:tcPr>
          <w:p w:rsidR="008210AC" w:rsidRDefault="008210AC" w:rsidP="008210AC">
            <w:pPr>
              <w:rPr>
                <w:sz w:val="2"/>
                <w:szCs w:val="2"/>
              </w:rPr>
            </w:pPr>
          </w:p>
        </w:tc>
        <w:tc>
          <w:tcPr>
            <w:tcW w:w="3458" w:type="dxa"/>
          </w:tcPr>
          <w:p w:rsidR="008210AC" w:rsidRDefault="008210AC" w:rsidP="008210AC">
            <w:pPr>
              <w:pStyle w:val="TableParagraph"/>
              <w:spacing w:line="247" w:lineRule="exact"/>
              <w:ind w:left="201"/>
            </w:pPr>
            <w:r>
              <w:t>Accessory (Building Permit)</w:t>
            </w:r>
          </w:p>
        </w:tc>
        <w:tc>
          <w:tcPr>
            <w:tcW w:w="1540" w:type="dxa"/>
          </w:tcPr>
          <w:p w:rsidR="008210AC" w:rsidRDefault="008210AC" w:rsidP="008210AC">
            <w:pPr>
              <w:pStyle w:val="TableParagraph"/>
              <w:spacing w:line="247" w:lineRule="exact"/>
              <w:ind w:left="343"/>
            </w:pPr>
            <w:r>
              <w:t>$50</w:t>
            </w:r>
          </w:p>
        </w:tc>
      </w:tr>
      <w:tr w:rsidR="008210AC" w:rsidTr="008210AC">
        <w:trPr>
          <w:trHeight w:val="672"/>
        </w:trPr>
        <w:tc>
          <w:tcPr>
            <w:tcW w:w="1289" w:type="dxa"/>
          </w:tcPr>
          <w:p w:rsidR="008210AC" w:rsidRDefault="008210AC" w:rsidP="008210AC">
            <w:pPr>
              <w:pStyle w:val="TableParagraph"/>
              <w:spacing w:before="114" w:line="240" w:lineRule="auto"/>
              <w:ind w:left="50"/>
            </w:pPr>
            <w:r>
              <w:rPr>
                <w:u w:val="single"/>
              </w:rPr>
              <w:t>Other Fees:</w:t>
            </w:r>
          </w:p>
        </w:tc>
        <w:tc>
          <w:tcPr>
            <w:tcW w:w="3458" w:type="dxa"/>
          </w:tcPr>
          <w:p w:rsidR="008210AC" w:rsidRDefault="008210AC" w:rsidP="008210AC">
            <w:pPr>
              <w:pStyle w:val="TableParagraph"/>
              <w:spacing w:before="4" w:line="240" w:lineRule="auto"/>
              <w:rPr>
                <w:sz w:val="31"/>
              </w:rPr>
            </w:pPr>
          </w:p>
          <w:p w:rsidR="008210AC" w:rsidRDefault="008210AC" w:rsidP="008210AC">
            <w:pPr>
              <w:pStyle w:val="TableParagraph"/>
              <w:spacing w:before="1" w:line="240" w:lineRule="auto"/>
              <w:ind w:left="201"/>
            </w:pPr>
            <w:r>
              <w:t>Zoning Certificate of Compliance</w:t>
            </w:r>
          </w:p>
        </w:tc>
        <w:tc>
          <w:tcPr>
            <w:tcW w:w="1540" w:type="dxa"/>
          </w:tcPr>
          <w:p w:rsidR="008210AC" w:rsidRDefault="008210AC" w:rsidP="008210AC">
            <w:pPr>
              <w:pStyle w:val="TableParagraph"/>
              <w:spacing w:before="4" w:line="240" w:lineRule="auto"/>
              <w:rPr>
                <w:sz w:val="31"/>
              </w:rPr>
            </w:pPr>
          </w:p>
          <w:p w:rsidR="008210AC" w:rsidRDefault="008210AC" w:rsidP="008210AC">
            <w:pPr>
              <w:pStyle w:val="TableParagraph"/>
              <w:spacing w:before="1" w:line="240" w:lineRule="auto"/>
              <w:ind w:left="343"/>
            </w:pPr>
            <w:r>
              <w:t>$50</w:t>
            </w:r>
          </w:p>
        </w:tc>
      </w:tr>
      <w:tr w:rsidR="008210AC" w:rsidTr="008210AC">
        <w:trPr>
          <w:trHeight w:val="268"/>
        </w:trPr>
        <w:tc>
          <w:tcPr>
            <w:tcW w:w="1289" w:type="dxa"/>
          </w:tcPr>
          <w:p w:rsidR="008210AC" w:rsidRDefault="008210AC" w:rsidP="008210AC">
            <w:pPr>
              <w:pStyle w:val="TableParagraph"/>
              <w:spacing w:line="240" w:lineRule="auto"/>
              <w:rPr>
                <w:rFonts w:ascii="Times New Roman"/>
                <w:sz w:val="18"/>
              </w:rPr>
            </w:pPr>
          </w:p>
        </w:tc>
        <w:tc>
          <w:tcPr>
            <w:tcW w:w="3458" w:type="dxa"/>
          </w:tcPr>
          <w:p w:rsidR="008210AC" w:rsidRDefault="008210AC" w:rsidP="008210AC">
            <w:pPr>
              <w:pStyle w:val="TableParagraph"/>
              <w:ind w:left="201"/>
            </w:pPr>
            <w:r>
              <w:t>Home Occupation</w:t>
            </w:r>
          </w:p>
        </w:tc>
        <w:tc>
          <w:tcPr>
            <w:tcW w:w="1540" w:type="dxa"/>
          </w:tcPr>
          <w:p w:rsidR="008210AC" w:rsidRDefault="008210AC" w:rsidP="008210AC">
            <w:pPr>
              <w:pStyle w:val="TableParagraph"/>
              <w:ind w:left="343"/>
            </w:pPr>
            <w:r>
              <w:t>$50</w:t>
            </w:r>
          </w:p>
        </w:tc>
      </w:tr>
      <w:tr w:rsidR="008210AC" w:rsidTr="008210AC">
        <w:trPr>
          <w:trHeight w:val="268"/>
        </w:trPr>
        <w:tc>
          <w:tcPr>
            <w:tcW w:w="1289" w:type="dxa"/>
          </w:tcPr>
          <w:p w:rsidR="008210AC" w:rsidRDefault="008210AC" w:rsidP="008210AC">
            <w:pPr>
              <w:pStyle w:val="TableParagraph"/>
              <w:spacing w:line="240" w:lineRule="auto"/>
              <w:rPr>
                <w:rFonts w:ascii="Times New Roman"/>
                <w:sz w:val="18"/>
              </w:rPr>
            </w:pPr>
          </w:p>
        </w:tc>
        <w:tc>
          <w:tcPr>
            <w:tcW w:w="3458" w:type="dxa"/>
          </w:tcPr>
          <w:p w:rsidR="008210AC" w:rsidRDefault="008210AC" w:rsidP="008210AC">
            <w:pPr>
              <w:pStyle w:val="TableParagraph"/>
              <w:ind w:left="201"/>
            </w:pPr>
            <w:r>
              <w:t>Temporary Use</w:t>
            </w:r>
          </w:p>
        </w:tc>
        <w:tc>
          <w:tcPr>
            <w:tcW w:w="1540" w:type="dxa"/>
          </w:tcPr>
          <w:p w:rsidR="008210AC" w:rsidRDefault="008210AC" w:rsidP="008210AC">
            <w:pPr>
              <w:pStyle w:val="TableParagraph"/>
              <w:ind w:left="343"/>
            </w:pPr>
            <w:r>
              <w:t>$25</w:t>
            </w:r>
          </w:p>
        </w:tc>
      </w:tr>
      <w:tr w:rsidR="008210AC" w:rsidTr="008210AC">
        <w:trPr>
          <w:trHeight w:val="268"/>
        </w:trPr>
        <w:tc>
          <w:tcPr>
            <w:tcW w:w="1289" w:type="dxa"/>
          </w:tcPr>
          <w:p w:rsidR="008210AC" w:rsidRDefault="008210AC" w:rsidP="008210AC">
            <w:pPr>
              <w:pStyle w:val="TableParagraph"/>
              <w:spacing w:line="240" w:lineRule="auto"/>
              <w:rPr>
                <w:rFonts w:ascii="Times New Roman"/>
                <w:sz w:val="18"/>
              </w:rPr>
            </w:pPr>
          </w:p>
        </w:tc>
        <w:tc>
          <w:tcPr>
            <w:tcW w:w="3458" w:type="dxa"/>
          </w:tcPr>
          <w:p w:rsidR="008210AC" w:rsidRDefault="008210AC" w:rsidP="008210AC">
            <w:pPr>
              <w:pStyle w:val="TableParagraph"/>
              <w:ind w:left="201"/>
            </w:pPr>
            <w:r>
              <w:t>Demolition</w:t>
            </w:r>
          </w:p>
        </w:tc>
        <w:tc>
          <w:tcPr>
            <w:tcW w:w="1540" w:type="dxa"/>
          </w:tcPr>
          <w:p w:rsidR="008210AC" w:rsidRDefault="008210AC" w:rsidP="008210AC">
            <w:pPr>
              <w:pStyle w:val="TableParagraph"/>
              <w:ind w:left="343"/>
            </w:pPr>
            <w:r>
              <w:t>$25</w:t>
            </w:r>
          </w:p>
        </w:tc>
      </w:tr>
      <w:tr w:rsidR="008210AC" w:rsidTr="008210AC">
        <w:trPr>
          <w:trHeight w:val="268"/>
        </w:trPr>
        <w:tc>
          <w:tcPr>
            <w:tcW w:w="1289" w:type="dxa"/>
          </w:tcPr>
          <w:p w:rsidR="008210AC" w:rsidRDefault="008210AC" w:rsidP="008210AC">
            <w:pPr>
              <w:pStyle w:val="TableParagraph"/>
              <w:spacing w:line="240" w:lineRule="auto"/>
              <w:rPr>
                <w:rFonts w:ascii="Times New Roman"/>
                <w:sz w:val="18"/>
              </w:rPr>
            </w:pPr>
          </w:p>
        </w:tc>
        <w:tc>
          <w:tcPr>
            <w:tcW w:w="3458" w:type="dxa"/>
          </w:tcPr>
          <w:p w:rsidR="008210AC" w:rsidRDefault="008210AC" w:rsidP="008210AC">
            <w:pPr>
              <w:pStyle w:val="TableParagraph"/>
              <w:ind w:left="201"/>
            </w:pPr>
            <w:r>
              <w:t>Telecommunication Tower</w:t>
            </w:r>
          </w:p>
        </w:tc>
        <w:tc>
          <w:tcPr>
            <w:tcW w:w="1540" w:type="dxa"/>
          </w:tcPr>
          <w:p w:rsidR="008210AC" w:rsidRDefault="008210AC" w:rsidP="008210AC">
            <w:pPr>
              <w:pStyle w:val="TableParagraph"/>
              <w:ind w:left="343"/>
            </w:pPr>
            <w:r>
              <w:t>$300</w:t>
            </w:r>
          </w:p>
        </w:tc>
      </w:tr>
      <w:tr w:rsidR="008210AC" w:rsidTr="008210AC">
        <w:trPr>
          <w:trHeight w:val="244"/>
        </w:trPr>
        <w:tc>
          <w:tcPr>
            <w:tcW w:w="1289" w:type="dxa"/>
          </w:tcPr>
          <w:p w:rsidR="008210AC" w:rsidRDefault="008210AC" w:rsidP="008210AC">
            <w:pPr>
              <w:pStyle w:val="TableParagraph"/>
              <w:spacing w:line="240" w:lineRule="auto"/>
              <w:rPr>
                <w:rFonts w:ascii="Times New Roman"/>
                <w:sz w:val="16"/>
              </w:rPr>
            </w:pPr>
          </w:p>
        </w:tc>
        <w:tc>
          <w:tcPr>
            <w:tcW w:w="3458" w:type="dxa"/>
          </w:tcPr>
          <w:p w:rsidR="008210AC" w:rsidRDefault="008210AC" w:rsidP="008210AC">
            <w:pPr>
              <w:pStyle w:val="TableParagraph"/>
              <w:spacing w:line="225" w:lineRule="exact"/>
              <w:ind w:left="201"/>
            </w:pPr>
            <w:r>
              <w:t>Co-Location</w:t>
            </w:r>
          </w:p>
        </w:tc>
        <w:tc>
          <w:tcPr>
            <w:tcW w:w="1540" w:type="dxa"/>
          </w:tcPr>
          <w:p w:rsidR="008210AC" w:rsidRDefault="008210AC" w:rsidP="008210AC">
            <w:pPr>
              <w:pStyle w:val="TableParagraph"/>
              <w:spacing w:line="225" w:lineRule="exact"/>
              <w:ind w:left="343"/>
            </w:pPr>
            <w:r>
              <w:t>$100</w:t>
            </w:r>
          </w:p>
        </w:tc>
      </w:tr>
    </w:tbl>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rPr>
          <w:u w:val="single"/>
        </w:rPr>
      </w:pPr>
    </w:p>
    <w:p w:rsidR="008210AC" w:rsidRDefault="008210AC" w:rsidP="008210AC">
      <w:pPr>
        <w:pStyle w:val="BodyText"/>
        <w:spacing w:before="56"/>
        <w:ind w:left="160"/>
      </w:pPr>
      <w:r>
        <w:rPr>
          <w:u w:val="single"/>
        </w:rPr>
        <w:t>Section 23:</w:t>
      </w:r>
      <w:r>
        <w:t xml:space="preserve"> Other General Fees shall be charged as follows after July 1, 2019</w:t>
      </w:r>
    </w:p>
    <w:p w:rsidR="008210AC" w:rsidRDefault="008210AC" w:rsidP="008210AC">
      <w:pPr>
        <w:pStyle w:val="BodyText"/>
        <w:spacing w:before="5"/>
        <w:rPr>
          <w:sz w:val="17"/>
        </w:rPr>
      </w:pPr>
    </w:p>
    <w:p w:rsidR="008210AC" w:rsidRDefault="008210AC" w:rsidP="008210AC">
      <w:pPr>
        <w:pStyle w:val="BodyText"/>
        <w:spacing w:before="56"/>
        <w:ind w:left="880"/>
      </w:pPr>
      <w:r>
        <w:rPr>
          <w:u w:val="single"/>
        </w:rPr>
        <w:t>General Other Fees:</w:t>
      </w:r>
    </w:p>
    <w:p w:rsidR="008210AC" w:rsidRDefault="008210AC" w:rsidP="008210AC">
      <w:pPr>
        <w:pStyle w:val="BodyText"/>
        <w:tabs>
          <w:tab w:val="left" w:pos="5921"/>
        </w:tabs>
        <w:spacing w:before="1"/>
        <w:ind w:left="2320"/>
      </w:pPr>
      <w:r>
        <w:t>Cemetery</w:t>
      </w:r>
      <w:r>
        <w:rPr>
          <w:spacing w:val="-3"/>
        </w:rPr>
        <w:t xml:space="preserve"> </w:t>
      </w:r>
      <w:r>
        <w:t>Lot</w:t>
      </w:r>
      <w:r>
        <w:tab/>
        <w:t>$600</w:t>
      </w:r>
    </w:p>
    <w:p w:rsidR="008210AC" w:rsidRDefault="008210AC" w:rsidP="008210AC">
      <w:pPr>
        <w:pStyle w:val="BodyText"/>
        <w:tabs>
          <w:tab w:val="left" w:pos="5921"/>
        </w:tabs>
        <w:ind w:left="2320"/>
      </w:pPr>
      <w:r>
        <w:t>Grave</w:t>
      </w:r>
      <w:r>
        <w:rPr>
          <w:spacing w:val="-2"/>
        </w:rPr>
        <w:t xml:space="preserve"> </w:t>
      </w:r>
      <w:r>
        <w:t>Opening</w:t>
      </w:r>
      <w:r>
        <w:tab/>
        <w:t>$425-700 (per Cemetery</w:t>
      </w:r>
      <w:r>
        <w:rPr>
          <w:spacing w:val="-4"/>
        </w:rPr>
        <w:t xml:space="preserve"> </w:t>
      </w:r>
      <w:r>
        <w:t>Ordinance)</w:t>
      </w:r>
    </w:p>
    <w:p w:rsidR="008210AC" w:rsidRDefault="008210AC" w:rsidP="008210AC">
      <w:pPr>
        <w:pStyle w:val="BodyText"/>
        <w:tabs>
          <w:tab w:val="left" w:pos="5921"/>
        </w:tabs>
        <w:ind w:left="2320"/>
      </w:pPr>
      <w:r>
        <w:t>Grave</w:t>
      </w:r>
      <w:r>
        <w:rPr>
          <w:spacing w:val="-2"/>
        </w:rPr>
        <w:t xml:space="preserve"> </w:t>
      </w:r>
      <w:r>
        <w:t>Marking</w:t>
      </w:r>
      <w:r>
        <w:tab/>
        <w:t>$100</w:t>
      </w:r>
    </w:p>
    <w:p w:rsidR="008210AC" w:rsidRDefault="008210AC" w:rsidP="008210AC">
      <w:pPr>
        <w:pStyle w:val="BodyText"/>
        <w:tabs>
          <w:tab w:val="left" w:pos="5921"/>
        </w:tabs>
        <w:ind w:left="2320"/>
      </w:pPr>
      <w:r>
        <w:t>Return</w:t>
      </w:r>
      <w:r>
        <w:rPr>
          <w:spacing w:val="-3"/>
        </w:rPr>
        <w:t xml:space="preserve"> </w:t>
      </w:r>
      <w:r>
        <w:t>Check Fee</w:t>
      </w:r>
      <w:r>
        <w:tab/>
        <w:t>$40</w:t>
      </w:r>
    </w:p>
    <w:p w:rsidR="008210AC" w:rsidRDefault="008210AC" w:rsidP="008210AC">
      <w:pPr>
        <w:pStyle w:val="BodyText"/>
        <w:tabs>
          <w:tab w:val="left" w:pos="5921"/>
        </w:tabs>
        <w:spacing w:before="1"/>
        <w:ind w:left="2320"/>
      </w:pPr>
      <w:r>
        <w:t>Administrative Fee for</w:t>
      </w:r>
      <w:r>
        <w:rPr>
          <w:spacing w:val="-6"/>
        </w:rPr>
        <w:t xml:space="preserve"> </w:t>
      </w:r>
      <w:r>
        <w:t>Utility Cut-Offs</w:t>
      </w:r>
      <w:r>
        <w:tab/>
        <w:t>$15</w:t>
      </w:r>
    </w:p>
    <w:p w:rsidR="008210AC" w:rsidRDefault="008210AC" w:rsidP="008210AC">
      <w:pPr>
        <w:pStyle w:val="BodyText"/>
        <w:tabs>
          <w:tab w:val="left" w:pos="5921"/>
        </w:tabs>
        <w:ind w:left="2320"/>
      </w:pPr>
      <w:r>
        <w:t>B &amp; W Copies Up to 8 ½</w:t>
      </w:r>
      <w:r>
        <w:rPr>
          <w:spacing w:val="-8"/>
        </w:rPr>
        <w:t xml:space="preserve"> </w:t>
      </w:r>
      <w:r>
        <w:t>X</w:t>
      </w:r>
      <w:r>
        <w:rPr>
          <w:spacing w:val="-1"/>
        </w:rPr>
        <w:t xml:space="preserve"> </w:t>
      </w:r>
      <w:r>
        <w:t>14</w:t>
      </w:r>
      <w:r>
        <w:tab/>
        <w:t>$.25/Page</w:t>
      </w:r>
    </w:p>
    <w:p w:rsidR="008210AC" w:rsidRDefault="008210AC" w:rsidP="008210AC">
      <w:pPr>
        <w:pStyle w:val="BodyText"/>
        <w:tabs>
          <w:tab w:val="left" w:pos="5921"/>
        </w:tabs>
        <w:ind w:left="2320"/>
      </w:pPr>
      <w:r>
        <w:t>Color Copies Up to 8 ½</w:t>
      </w:r>
      <w:r>
        <w:rPr>
          <w:spacing w:val="-8"/>
        </w:rPr>
        <w:t xml:space="preserve"> </w:t>
      </w:r>
      <w:r>
        <w:t>X</w:t>
      </w:r>
      <w:r>
        <w:rPr>
          <w:spacing w:val="1"/>
        </w:rPr>
        <w:t xml:space="preserve"> </w:t>
      </w:r>
      <w:r>
        <w:t>14</w:t>
      </w:r>
      <w:r>
        <w:tab/>
        <w:t>$.35/Page</w:t>
      </w:r>
    </w:p>
    <w:p w:rsidR="008210AC" w:rsidRDefault="008210AC" w:rsidP="008210AC">
      <w:pPr>
        <w:pStyle w:val="BodyText"/>
        <w:spacing w:before="11"/>
        <w:rPr>
          <w:sz w:val="21"/>
        </w:rPr>
      </w:pPr>
    </w:p>
    <w:p w:rsidR="008210AC" w:rsidRDefault="008210AC" w:rsidP="008210AC">
      <w:pPr>
        <w:pStyle w:val="BodyText"/>
        <w:ind w:left="160" w:right="236"/>
      </w:pPr>
      <w:r>
        <w:rPr>
          <w:u w:val="single"/>
        </w:rPr>
        <w:t>Section 24:</w:t>
      </w:r>
      <w:r>
        <w:t xml:space="preserve"> All other fees for service, surcharges, etc. previously established by Council shall remain the same unless adjusted at some future date. All billing not paid on the due date is subject to a 10% late penalty.</w:t>
      </w:r>
    </w:p>
    <w:p w:rsidR="008210AC" w:rsidRDefault="008210AC" w:rsidP="008210AC">
      <w:pPr>
        <w:pStyle w:val="BodyText"/>
        <w:spacing w:before="1"/>
      </w:pPr>
    </w:p>
    <w:p w:rsidR="008210AC" w:rsidRDefault="008210AC" w:rsidP="008210AC">
      <w:pPr>
        <w:pStyle w:val="BodyText"/>
        <w:ind w:left="160" w:right="1021"/>
      </w:pPr>
      <w:r>
        <w:rPr>
          <w:u w:val="single"/>
        </w:rPr>
        <w:t>Section 25:</w:t>
      </w:r>
      <w:r>
        <w:t xml:space="preserve"> The Budget Officer is hereby authorized to transfer appropriations within a fund as contained herein as follows:</w:t>
      </w:r>
    </w:p>
    <w:p w:rsidR="008210AC" w:rsidRDefault="008210AC" w:rsidP="008210AC">
      <w:pPr>
        <w:pStyle w:val="BodyText"/>
      </w:pPr>
    </w:p>
    <w:p w:rsidR="008210AC" w:rsidRDefault="008210AC" w:rsidP="008210AC">
      <w:pPr>
        <w:pStyle w:val="ListParagraph"/>
        <w:widowControl w:val="0"/>
        <w:numPr>
          <w:ilvl w:val="0"/>
          <w:numId w:val="18"/>
        </w:numPr>
        <w:tabs>
          <w:tab w:val="left" w:pos="1092"/>
        </w:tabs>
        <w:autoSpaceDE w:val="0"/>
        <w:autoSpaceDN w:val="0"/>
        <w:spacing w:before="1" w:after="0" w:line="240" w:lineRule="auto"/>
        <w:ind w:right="127" w:firstLine="0"/>
        <w:contextualSpacing w:val="0"/>
      </w:pPr>
      <w:r>
        <w:t>The Budget Officer may transfer amounts between object of expenditure within a department as defined by Ordinance without</w:t>
      </w:r>
      <w:r>
        <w:rPr>
          <w:spacing w:val="-6"/>
        </w:rPr>
        <w:t xml:space="preserve"> </w:t>
      </w:r>
      <w:r>
        <w:t>limitations.</w:t>
      </w:r>
    </w:p>
    <w:p w:rsidR="008210AC" w:rsidRDefault="008210AC" w:rsidP="008210AC">
      <w:pPr>
        <w:pStyle w:val="ListParagraph"/>
        <w:widowControl w:val="0"/>
        <w:numPr>
          <w:ilvl w:val="0"/>
          <w:numId w:val="18"/>
        </w:numPr>
        <w:tabs>
          <w:tab w:val="left" w:pos="1102"/>
        </w:tabs>
        <w:autoSpaceDE w:val="0"/>
        <w:autoSpaceDN w:val="0"/>
        <w:spacing w:after="0" w:line="240" w:lineRule="auto"/>
        <w:ind w:right="238" w:firstLine="0"/>
        <w:contextualSpacing w:val="0"/>
      </w:pPr>
      <w:r>
        <w:t>The Budget Officer may transfer amounts up to $7,500 between departments as designed by Ordinance of the same fund with report on such transfers at the next regular Council</w:t>
      </w:r>
      <w:r>
        <w:rPr>
          <w:spacing w:val="-25"/>
        </w:rPr>
        <w:t xml:space="preserve"> </w:t>
      </w:r>
      <w:r>
        <w:t>meeting.</w:t>
      </w:r>
    </w:p>
    <w:p w:rsidR="008210AC" w:rsidRDefault="008210AC" w:rsidP="008210AC">
      <w:pPr>
        <w:pStyle w:val="BodyText"/>
        <w:spacing w:before="11"/>
        <w:rPr>
          <w:sz w:val="21"/>
        </w:rPr>
      </w:pPr>
    </w:p>
    <w:p w:rsidR="008210AC" w:rsidRPr="008210AC" w:rsidRDefault="008210AC" w:rsidP="008210AC">
      <w:pPr>
        <w:pStyle w:val="BodyText"/>
        <w:ind w:left="160" w:right="321"/>
        <w:sectPr w:rsidR="008210AC" w:rsidRPr="008210AC">
          <w:pgSz w:w="12240" w:h="15840"/>
          <w:pgMar w:top="1480" w:right="1320" w:bottom="280" w:left="1280" w:header="720" w:footer="720" w:gutter="0"/>
          <w:cols w:space="720"/>
        </w:sectPr>
      </w:pPr>
      <w:r>
        <w:rPr>
          <w:u w:val="single"/>
        </w:rPr>
        <w:t>Section 26:</w:t>
      </w:r>
      <w:r>
        <w:t xml:space="preserve"> Copies of the Budget Ordinance shall be furnished to all Department Heads for guidance in the disbursement of funds. A copy shall always be available for public inspections in the City Clerk’s office.       </w:t>
      </w:r>
    </w:p>
    <w:p w:rsidR="005C45FB" w:rsidRPr="009455A1" w:rsidRDefault="005C45FB" w:rsidP="005C45FB">
      <w:pPr>
        <w:jc w:val="center"/>
        <w:rPr>
          <w:b/>
        </w:rPr>
      </w:pPr>
      <w:r w:rsidRPr="009455A1">
        <w:rPr>
          <w:b/>
        </w:rPr>
        <w:lastRenderedPageBreak/>
        <w:t>SOLID WASTE RECYCLING ORDINANCE</w:t>
      </w:r>
    </w:p>
    <w:p w:rsidR="005C45FB" w:rsidRDefault="005C45FB" w:rsidP="005C45FB">
      <w:pPr>
        <w:jc w:val="both"/>
      </w:pPr>
    </w:p>
    <w:p w:rsidR="005C45FB" w:rsidRDefault="005C45FB" w:rsidP="005C45FB">
      <w:pPr>
        <w:jc w:val="both"/>
      </w:pPr>
      <w:r>
        <w:t>§ 54.12 Establishment of Program.</w:t>
      </w:r>
    </w:p>
    <w:p w:rsidR="005C45FB" w:rsidRDefault="005C45FB" w:rsidP="005C45FB">
      <w:pPr>
        <w:jc w:val="both"/>
      </w:pPr>
      <w:r>
        <w:t>The City hereby establishes the voluntary separation of selected recyclable solid waste materials from garbage, rubbish and other trash, by the residential solid waste collection customers of the City, and the collection of those selected recyclable solid waste materials at the customer's curbside by the City or its agents.</w:t>
      </w:r>
    </w:p>
    <w:p w:rsidR="005C45FB" w:rsidRDefault="005C45FB" w:rsidP="005C45FB">
      <w:pPr>
        <w:jc w:val="both"/>
      </w:pPr>
      <w:r>
        <w:t>§54.13 Fees.</w:t>
      </w:r>
    </w:p>
    <w:p w:rsidR="005C45FB" w:rsidRDefault="005C45FB" w:rsidP="005C45FB">
      <w:pPr>
        <w:jc w:val="both"/>
      </w:pPr>
      <w:r>
        <w:t>The City Council may establish and fix from time to time such fees to provide recycling collection service and add said fees to customer utility bill as provided by N.C.G.S. §160A– 317.</w:t>
      </w:r>
    </w:p>
    <w:p w:rsidR="005C45FB" w:rsidRDefault="005C45FB" w:rsidP="005C45FB">
      <w:pPr>
        <w:jc w:val="both"/>
      </w:pPr>
      <w:r>
        <w:t>§ 54.14 Availability and extent of service.</w:t>
      </w:r>
    </w:p>
    <w:p w:rsidR="005C45FB" w:rsidRDefault="005C45FB" w:rsidP="005C45FB">
      <w:pPr>
        <w:jc w:val="both"/>
      </w:pPr>
      <w:r>
        <w:t xml:space="preserve">The City shall collect, remove and dispose of the designated recyclable solid waste materials within the City limits, except in case of emergency arising from an act of God or under circumstances over which the City has or had no control, as set forth in this article or in the City solid waste collection policy. Service shall consist of curbside collection of recyclable solid waste materials once each week, as set forth in the City solid waste collection policy, except during weeks when holidays are authorized and during which special schedules will be established. </w:t>
      </w:r>
    </w:p>
    <w:p w:rsidR="005C45FB" w:rsidRDefault="005C45FB" w:rsidP="005C45FB">
      <w:pPr>
        <w:jc w:val="both"/>
      </w:pPr>
      <w:r>
        <w:t>§ 54.15. Limitations on service.</w:t>
      </w:r>
    </w:p>
    <w:p w:rsidR="005C45FB" w:rsidRDefault="005C45FB" w:rsidP="005C45FB">
      <w:pPr>
        <w:jc w:val="both"/>
      </w:pPr>
      <w:r>
        <w:t>(a)</w:t>
      </w:r>
      <w:r>
        <w:tab/>
        <w:t>Curbside recyclable solid waste material collection service shall be provided only to residential solid waste customers of the City. This service will not be provided to institutional, business or commercial or industrial solid waste collection customers. Furthermore, this service includes only those recyclable solid waste materials set forth in the City’s contract with its waste management service provider (“WMSP”). I</w:t>
      </w:r>
      <w:r w:rsidRPr="00F0676B">
        <w:t>tems that are acceptable by the City include newspapers and their inserts, computer paper, white offic</w:t>
      </w:r>
      <w:r>
        <w:t>e</w:t>
      </w:r>
      <w:r w:rsidRPr="00F0676B">
        <w:t xml:space="preserve"> paper and junk mail, magazines, envelopes, cereal boxes and boxes for cr</w:t>
      </w:r>
      <w:r>
        <w:t>a</w:t>
      </w:r>
      <w:r w:rsidRPr="00F0676B">
        <w:t>ckers, cookies and other similar foods, plastic soft drink bottles, plastic water and milk jugs, aluminum food cans, b</w:t>
      </w:r>
      <w:r>
        <w:t>i</w:t>
      </w:r>
      <w:r w:rsidRPr="00F0676B">
        <w:t>-metal and steel food cans, clean aluminum foil, old co</w:t>
      </w:r>
      <w:r>
        <w:t>rruga</w:t>
      </w:r>
      <w:r w:rsidRPr="00F0676B">
        <w:t>ted cardboard box</w:t>
      </w:r>
      <w:r>
        <w:t>e</w:t>
      </w:r>
      <w:r w:rsidRPr="00F0676B">
        <w:t>s that are flattened and/or crushed and other recyclables accept</w:t>
      </w:r>
      <w:r>
        <w:t>a</w:t>
      </w:r>
      <w:r w:rsidRPr="00F0676B">
        <w:t xml:space="preserve">ble for processing </w:t>
      </w:r>
      <w:r>
        <w:t xml:space="preserve">by </w:t>
      </w:r>
      <w:r w:rsidRPr="00F0676B">
        <w:t xml:space="preserve">the </w:t>
      </w:r>
      <w:r>
        <w:t>WMSP</w:t>
      </w:r>
      <w:r w:rsidRPr="00F0676B">
        <w:t xml:space="preserve"> </w:t>
      </w:r>
      <w:r>
        <w:t>a</w:t>
      </w:r>
      <w:r w:rsidRPr="00F0676B">
        <w:t xml:space="preserve">s mutually agreed by the City and the </w:t>
      </w:r>
      <w:r>
        <w:t>WMSP,</w:t>
      </w:r>
      <w:r w:rsidRPr="00F0676B">
        <w:t xml:space="preserve"> however</w:t>
      </w:r>
      <w:r>
        <w:t>,</w:t>
      </w:r>
      <w:r w:rsidRPr="00F0676B">
        <w:t xml:space="preserve"> the following items are not </w:t>
      </w:r>
      <w:r>
        <w:t>a</w:t>
      </w:r>
      <w:r w:rsidRPr="00F0676B">
        <w:t>cceptable for recycling and are not allowed ln The City's collection program including: Construction and Demolition Waste, Garbage, Hazardous Waste, Industrial Waste, M</w:t>
      </w:r>
      <w:r>
        <w:t>edical Waste</w:t>
      </w:r>
      <w:r w:rsidRPr="00F0676B">
        <w:t xml:space="preserve">, except those items within the MSW definition allowed above, Plastic </w:t>
      </w:r>
      <w:r>
        <w:t>B</w:t>
      </w:r>
      <w:r w:rsidRPr="00F0676B">
        <w:t>ags, Refus</w:t>
      </w:r>
      <w:r>
        <w:t>e</w:t>
      </w:r>
      <w:r w:rsidRPr="00F0676B">
        <w:t xml:space="preserve">, </w:t>
      </w:r>
      <w:proofErr w:type="spellStart"/>
      <w:r w:rsidRPr="00F0676B">
        <w:t>Septage</w:t>
      </w:r>
      <w:proofErr w:type="spellEnd"/>
      <w:r w:rsidRPr="00F0676B">
        <w:t xml:space="preserve">, Solid Waste, Special Waste, White Goods, </w:t>
      </w:r>
      <w:r>
        <w:t xml:space="preserve">and </w:t>
      </w:r>
      <w:r w:rsidRPr="00F0676B">
        <w:t>Yard Waste</w:t>
      </w:r>
      <w:r>
        <w:t>, as those capitalized terms are defined in the City’s contract with the WMSP, to which reference is hereby made.</w:t>
      </w:r>
    </w:p>
    <w:p w:rsidR="005C45FB" w:rsidRDefault="005C45FB" w:rsidP="005C45FB">
      <w:pPr>
        <w:jc w:val="both"/>
      </w:pPr>
      <w:r>
        <w:t>(b)</w:t>
      </w:r>
      <w:r>
        <w:tab/>
        <w:t>All recyclable solid waste materials not prepared and handled in accordance with the provisions of this article and the City solid waste collection policy shall not be collected by the City or its agents.</w:t>
      </w:r>
    </w:p>
    <w:p w:rsidR="005C45FB" w:rsidRDefault="005C45FB" w:rsidP="005C45FB">
      <w:pPr>
        <w:jc w:val="both"/>
      </w:pPr>
      <w:r>
        <w:lastRenderedPageBreak/>
        <w:t>§ 54-16. Ownership of recyclable solid waste materials.</w:t>
      </w:r>
    </w:p>
    <w:p w:rsidR="005C45FB" w:rsidRDefault="005C45FB" w:rsidP="005C45FB">
      <w:pPr>
        <w:jc w:val="both"/>
      </w:pPr>
      <w:r>
        <w:t>Upon placement of recyclable solid waste materials at curbside for collection by the City or its agents in accordance with this article and the City solid waste collection policy, such recyclable solid waste materials shall become the property of the City, except those recyclable materials not prepared and handled in accordance with the City solid waste collection policy and any materials</w:t>
      </w:r>
    </w:p>
    <w:p w:rsidR="005C45FB" w:rsidRDefault="005C45FB" w:rsidP="005C45FB">
      <w:pPr>
        <w:jc w:val="both"/>
      </w:pPr>
      <w:r>
        <w:t>not included in the list of recyclable solid waste materials in the City solid waste collection policy but placed at curbside for collection. It shall be a violation of this article for any person, other than authorized agents of the City acting in the course of their employment, to collect or pick up any recyclable solid waste materials so placed.</w:t>
      </w:r>
    </w:p>
    <w:p w:rsidR="005C45FB" w:rsidRDefault="005C45FB" w:rsidP="005C45FB">
      <w:pPr>
        <w:jc w:val="both"/>
      </w:pPr>
      <w:r>
        <w:t>§ 54-17. Recycling containers.</w:t>
      </w:r>
    </w:p>
    <w:p w:rsidR="005C45FB" w:rsidRDefault="005C45FB" w:rsidP="005C45FB">
      <w:pPr>
        <w:jc w:val="both"/>
      </w:pPr>
      <w:r>
        <w:t>The City shall furnish each solid waste collection customer with a special container which is specifically designed for the collection of recyclable solid waste materials. This container shall be used by each residential solid waste collection customer to store recyclable solid waste materials. It shall be the responsibility of each customer to maintain that container in a functional state of repair and to report any damage to or loss of that container immediately to the department of public works and utilities. Each container is and shall remain the property of the City and shall remain at a customers' residence after that customer has moved or otherwise vacated the dwelling.</w:t>
      </w:r>
    </w:p>
    <w:p w:rsidR="005C45FB" w:rsidRDefault="005C45FB" w:rsidP="005C45FB">
      <w:pPr>
        <w:jc w:val="both"/>
      </w:pPr>
    </w:p>
    <w:p w:rsidR="005C45FB" w:rsidRDefault="005C45FB" w:rsidP="005C45FB">
      <w:pPr>
        <w:jc w:val="both"/>
      </w:pPr>
      <w:r>
        <w:t>§ 54-18. Collection practices.</w:t>
      </w:r>
    </w:p>
    <w:p w:rsidR="005C45FB" w:rsidRDefault="005C45FB" w:rsidP="005C45FB">
      <w:pPr>
        <w:jc w:val="both"/>
      </w:pPr>
      <w:r>
        <w:t>(a)</w:t>
      </w:r>
      <w:r>
        <w:tab/>
      </w:r>
      <w:proofErr w:type="spellStart"/>
      <w:r>
        <w:t>Precollection</w:t>
      </w:r>
      <w:proofErr w:type="spellEnd"/>
      <w:r>
        <w:t xml:space="preserve"> practice. After the recyclable solid waste materials have been properly prepared, those recyclable materials can be stored in the recycling container until the designated collection day, at which time the container and its contents shall be placed at curbside in front of the customer's residence not later than 7:00 a.m., nor earlier than dusk of the day prior to collection.</w:t>
      </w:r>
    </w:p>
    <w:p w:rsidR="005C45FB" w:rsidRDefault="005C45FB" w:rsidP="005C45FB">
      <w:pPr>
        <w:jc w:val="both"/>
      </w:pPr>
      <w:r>
        <w:t>(b)</w:t>
      </w:r>
      <w:r>
        <w:tab/>
        <w:t>Post-collection practice. After the recyclable materials have been collected by the City or its agents, each solid waste collection customer who has placed his recyclable materials collection container at curbside shall retrieve his container from curbside and return the container to its storage location in or at his residence, not later than 6:00 a.m. on the day following the collection day.</w:t>
      </w:r>
    </w:p>
    <w:p w:rsidR="005C45FB" w:rsidRDefault="005C45FB" w:rsidP="005C45FB">
      <w:pPr>
        <w:jc w:val="both"/>
      </w:pPr>
      <w:r>
        <w:t>§ 54-19. Penalty. See §54-99</w:t>
      </w:r>
    </w:p>
    <w:p w:rsidR="008210AC" w:rsidRDefault="008210AC" w:rsidP="008210AC">
      <w:pPr>
        <w:spacing w:after="0" w:line="17" w:lineRule="atLeast"/>
      </w:pPr>
    </w:p>
    <w:p w:rsidR="00C24F0B" w:rsidRPr="00F57F81" w:rsidRDefault="00C24F0B" w:rsidP="00C24F0B">
      <w:pPr>
        <w:jc w:val="center"/>
        <w:rPr>
          <w:b/>
        </w:rPr>
      </w:pPr>
      <w:r>
        <w:rPr>
          <w:b/>
        </w:rPr>
        <w:t xml:space="preserve">AN AMENDMENT TO SECTION 55 </w:t>
      </w:r>
      <w:r w:rsidRPr="00F57F81">
        <w:rPr>
          <w:b/>
        </w:rPr>
        <w:t xml:space="preserve">OF THE BESSEMER CITY </w:t>
      </w:r>
    </w:p>
    <w:p w:rsidR="00C24F0B" w:rsidRPr="00F57F81" w:rsidRDefault="00C24F0B" w:rsidP="00C24F0B">
      <w:pPr>
        <w:jc w:val="center"/>
        <w:rPr>
          <w:b/>
        </w:rPr>
      </w:pPr>
      <w:r>
        <w:rPr>
          <w:b/>
        </w:rPr>
        <w:t>CODE OF</w:t>
      </w:r>
      <w:r w:rsidRPr="00F57F81">
        <w:rPr>
          <w:b/>
        </w:rPr>
        <w:t xml:space="preserve"> ORDINANCE</w:t>
      </w:r>
      <w:r>
        <w:rPr>
          <w:b/>
        </w:rPr>
        <w:t>S</w:t>
      </w:r>
    </w:p>
    <w:p w:rsidR="00C24F0B" w:rsidRPr="00F57F81" w:rsidRDefault="00C24F0B" w:rsidP="00C24F0B">
      <w:pPr>
        <w:jc w:val="both"/>
      </w:pPr>
      <w:r w:rsidRPr="00F57F81">
        <w:t xml:space="preserve">       </w:t>
      </w:r>
      <w:r w:rsidRPr="00C033DB">
        <w:rPr>
          <w:b/>
        </w:rPr>
        <w:t>WHEREAS,</w:t>
      </w:r>
      <w:r w:rsidRPr="00F57F81">
        <w:t xml:space="preserve"> the City Council of the City of Bessemer City voted at their regular meeting on </w:t>
      </w:r>
      <w:r>
        <w:t>June 10</w:t>
      </w:r>
      <w:r w:rsidRPr="00426090">
        <w:rPr>
          <w:vertAlign w:val="superscript"/>
        </w:rPr>
        <w:t>th</w:t>
      </w:r>
      <w:r>
        <w:t>, 2019</w:t>
      </w:r>
      <w:r w:rsidRPr="00F57F81">
        <w:t xml:space="preserve"> to adopt a text change to the  Bessemer City, NC </w:t>
      </w:r>
      <w:r>
        <w:t>Code of Ordinances;</w:t>
      </w:r>
    </w:p>
    <w:p w:rsidR="00C24F0B" w:rsidRPr="00C24F0B" w:rsidRDefault="00C24F0B" w:rsidP="00C24F0B">
      <w:pPr>
        <w:jc w:val="both"/>
      </w:pPr>
      <w:r w:rsidRPr="00F57F81">
        <w:lastRenderedPageBreak/>
        <w:t xml:space="preserve">       </w:t>
      </w:r>
      <w:r w:rsidRPr="00C033DB">
        <w:rPr>
          <w:b/>
        </w:rPr>
        <w:t>THEREFORE BE IT ORDAINED,</w:t>
      </w:r>
      <w:r w:rsidRPr="00F57F81">
        <w:t xml:space="preserve"> by the City Council of the City of Bessemer City, that Section </w:t>
      </w:r>
      <w:r>
        <w:t xml:space="preserve">55 </w:t>
      </w:r>
      <w:r w:rsidRPr="00F57F81">
        <w:t xml:space="preserve">of the </w:t>
      </w:r>
      <w:r>
        <w:t>Code of</w:t>
      </w:r>
      <w:r w:rsidRPr="00F57F81">
        <w:t xml:space="preserve"> Ordinance</w:t>
      </w:r>
      <w:r>
        <w:t>s</w:t>
      </w:r>
      <w:r w:rsidRPr="00F57F81">
        <w:t xml:space="preserve"> is amended to reflect the ad</w:t>
      </w:r>
      <w:r>
        <w:t>opted changes as written below.</w:t>
      </w:r>
      <w:r w:rsidRPr="00F57F81">
        <w:rPr>
          <w:b/>
        </w:rPr>
        <w:tab/>
      </w:r>
    </w:p>
    <w:p w:rsidR="00C24F0B" w:rsidRPr="00C033DB" w:rsidRDefault="00C24F0B" w:rsidP="00C24F0B">
      <w:pPr>
        <w:jc w:val="both"/>
        <w:rPr>
          <w:b/>
        </w:rPr>
      </w:pPr>
      <w:bookmarkStart w:id="1" w:name="LPHit11"/>
      <w:bookmarkEnd w:id="1"/>
      <w:r w:rsidRPr="00C033DB">
        <w:rPr>
          <w:b/>
        </w:rPr>
        <w:t>CHAPTER 55: STREETS; SIDEWALKS; PUBLIC PLACES</w:t>
      </w:r>
    </w:p>
    <w:p w:rsidR="00C24F0B" w:rsidRPr="00C033DB" w:rsidRDefault="00C24F0B" w:rsidP="00C24F0B">
      <w:pPr>
        <w:jc w:val="both"/>
      </w:pPr>
      <w:r w:rsidRPr="00C033DB">
        <w:rPr>
          <w:b/>
        </w:rPr>
        <w:t>Sec 55.09</w:t>
      </w:r>
      <w:r w:rsidRPr="00C033DB">
        <w:t xml:space="preserve"> Unlawful deposit of grass clippings, leaves, debris etc., within the  public ways.</w:t>
      </w:r>
    </w:p>
    <w:p w:rsidR="00C24F0B" w:rsidRPr="00C033DB" w:rsidRDefault="00C24F0B" w:rsidP="00C24F0B">
      <w:pPr>
        <w:jc w:val="both"/>
      </w:pPr>
      <w:r w:rsidRPr="00C033DB">
        <w:t xml:space="preserve">(a) It shall be unlawful for any person to blow, place, allow to be placed, or to permit the accumulation of yard waste or any other debris that is likely to injure any person, animal or vehicle within public rights-of-way, or on an area that pedestrians would be expected to use.  A civil penalty in the amount of $150.00 may be issued to any person in violation of this section. </w:t>
      </w:r>
    </w:p>
    <w:p w:rsidR="00C24F0B" w:rsidRPr="00F57F81" w:rsidRDefault="00C24F0B" w:rsidP="00C24F0B">
      <w:pPr>
        <w:jc w:val="both"/>
      </w:pPr>
      <w:r w:rsidRPr="00C033DB">
        <w:t>(b) This section shall not apply to the placement of leaves or yard waste along a curbside of a public rights-of-way for the purpose of collection per the City Manager or his designee.</w:t>
      </w:r>
    </w:p>
    <w:p w:rsidR="00C24F0B" w:rsidRPr="00F57F81" w:rsidRDefault="00C24F0B" w:rsidP="00C24F0B">
      <w:r w:rsidRPr="00F57F81">
        <w:t xml:space="preserve">Adopted this </w:t>
      </w:r>
      <w:r>
        <w:t>10</w:t>
      </w:r>
      <w:r w:rsidRPr="00F57F81">
        <w:rPr>
          <w:vertAlign w:val="superscript"/>
        </w:rPr>
        <w:t>th</w:t>
      </w:r>
      <w:r w:rsidRPr="00F57F81">
        <w:t xml:space="preserve"> day of</w:t>
      </w:r>
      <w:r>
        <w:t xml:space="preserve"> June, 2019</w:t>
      </w:r>
    </w:p>
    <w:p w:rsidR="00C24F0B" w:rsidRPr="008210AC" w:rsidRDefault="00C24F0B" w:rsidP="008210AC">
      <w:pPr>
        <w:spacing w:after="0" w:line="17" w:lineRule="atLeast"/>
      </w:pPr>
    </w:p>
    <w:sectPr w:rsidR="00C24F0B" w:rsidRPr="00821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AC" w:rsidRDefault="008210AC" w:rsidP="0011124F">
      <w:pPr>
        <w:spacing w:after="0" w:line="240" w:lineRule="auto"/>
      </w:pPr>
      <w:r>
        <w:separator/>
      </w:r>
    </w:p>
  </w:endnote>
  <w:endnote w:type="continuationSeparator" w:id="0">
    <w:p w:rsidR="008210AC" w:rsidRDefault="008210AC"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AC" w:rsidRDefault="008210AC" w:rsidP="0011124F">
      <w:pPr>
        <w:spacing w:after="0" w:line="240" w:lineRule="auto"/>
      </w:pPr>
      <w:r>
        <w:separator/>
      </w:r>
    </w:p>
  </w:footnote>
  <w:footnote w:type="continuationSeparator" w:id="0">
    <w:p w:rsidR="008210AC" w:rsidRDefault="008210AC"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8210AC" w:rsidRDefault="00CA3C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43978"/>
    <w:multiLevelType w:val="hybridMultilevel"/>
    <w:tmpl w:val="FDCAC3FC"/>
    <w:lvl w:ilvl="0" w:tplc="46186F04">
      <w:start w:val="1"/>
      <w:numFmt w:val="lowerLetter"/>
      <w:lvlText w:val="%1."/>
      <w:lvlJc w:val="left"/>
      <w:pPr>
        <w:ind w:left="880" w:hanging="212"/>
        <w:jc w:val="left"/>
      </w:pPr>
      <w:rPr>
        <w:rFonts w:ascii="Calibri" w:eastAsia="Calibri" w:hAnsi="Calibri" w:cs="Calibri" w:hint="default"/>
        <w:w w:val="100"/>
        <w:sz w:val="22"/>
        <w:szCs w:val="22"/>
        <w:lang w:val="en-US" w:eastAsia="en-US" w:bidi="en-US"/>
      </w:rPr>
    </w:lvl>
    <w:lvl w:ilvl="1" w:tplc="89D07E82">
      <w:numFmt w:val="bullet"/>
      <w:lvlText w:val="•"/>
      <w:lvlJc w:val="left"/>
      <w:pPr>
        <w:ind w:left="1756" w:hanging="212"/>
      </w:pPr>
      <w:rPr>
        <w:rFonts w:hint="default"/>
        <w:lang w:val="en-US" w:eastAsia="en-US" w:bidi="en-US"/>
      </w:rPr>
    </w:lvl>
    <w:lvl w:ilvl="2" w:tplc="A9B2BBDE">
      <w:numFmt w:val="bullet"/>
      <w:lvlText w:val="•"/>
      <w:lvlJc w:val="left"/>
      <w:pPr>
        <w:ind w:left="2632" w:hanging="212"/>
      </w:pPr>
      <w:rPr>
        <w:rFonts w:hint="default"/>
        <w:lang w:val="en-US" w:eastAsia="en-US" w:bidi="en-US"/>
      </w:rPr>
    </w:lvl>
    <w:lvl w:ilvl="3" w:tplc="A3FED674">
      <w:numFmt w:val="bullet"/>
      <w:lvlText w:val="•"/>
      <w:lvlJc w:val="left"/>
      <w:pPr>
        <w:ind w:left="3508" w:hanging="212"/>
      </w:pPr>
      <w:rPr>
        <w:rFonts w:hint="default"/>
        <w:lang w:val="en-US" w:eastAsia="en-US" w:bidi="en-US"/>
      </w:rPr>
    </w:lvl>
    <w:lvl w:ilvl="4" w:tplc="BB08B1E8">
      <w:numFmt w:val="bullet"/>
      <w:lvlText w:val="•"/>
      <w:lvlJc w:val="left"/>
      <w:pPr>
        <w:ind w:left="4384" w:hanging="212"/>
      </w:pPr>
      <w:rPr>
        <w:rFonts w:hint="default"/>
        <w:lang w:val="en-US" w:eastAsia="en-US" w:bidi="en-US"/>
      </w:rPr>
    </w:lvl>
    <w:lvl w:ilvl="5" w:tplc="A934E35A">
      <w:numFmt w:val="bullet"/>
      <w:lvlText w:val="•"/>
      <w:lvlJc w:val="left"/>
      <w:pPr>
        <w:ind w:left="5260" w:hanging="212"/>
      </w:pPr>
      <w:rPr>
        <w:rFonts w:hint="default"/>
        <w:lang w:val="en-US" w:eastAsia="en-US" w:bidi="en-US"/>
      </w:rPr>
    </w:lvl>
    <w:lvl w:ilvl="6" w:tplc="9B5ED3CC">
      <w:numFmt w:val="bullet"/>
      <w:lvlText w:val="•"/>
      <w:lvlJc w:val="left"/>
      <w:pPr>
        <w:ind w:left="6136" w:hanging="212"/>
      </w:pPr>
      <w:rPr>
        <w:rFonts w:hint="default"/>
        <w:lang w:val="en-US" w:eastAsia="en-US" w:bidi="en-US"/>
      </w:rPr>
    </w:lvl>
    <w:lvl w:ilvl="7" w:tplc="C926535C">
      <w:numFmt w:val="bullet"/>
      <w:lvlText w:val="•"/>
      <w:lvlJc w:val="left"/>
      <w:pPr>
        <w:ind w:left="7012" w:hanging="212"/>
      </w:pPr>
      <w:rPr>
        <w:rFonts w:hint="default"/>
        <w:lang w:val="en-US" w:eastAsia="en-US" w:bidi="en-US"/>
      </w:rPr>
    </w:lvl>
    <w:lvl w:ilvl="8" w:tplc="61FA290C">
      <w:numFmt w:val="bullet"/>
      <w:lvlText w:val="•"/>
      <w:lvlJc w:val="left"/>
      <w:pPr>
        <w:ind w:left="7888" w:hanging="212"/>
      </w:pPr>
      <w:rPr>
        <w:rFonts w:hint="default"/>
        <w:lang w:val="en-US" w:eastAsia="en-US" w:bidi="en-US"/>
      </w:rPr>
    </w:lvl>
  </w:abstractNum>
  <w:abstractNum w:abstractNumId="4"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501BD5"/>
    <w:multiLevelType w:val="hybridMultilevel"/>
    <w:tmpl w:val="DE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20D74"/>
    <w:multiLevelType w:val="hybridMultilevel"/>
    <w:tmpl w:val="BAE45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13C5C"/>
    <w:multiLevelType w:val="hybridMultilevel"/>
    <w:tmpl w:val="B720D35C"/>
    <w:lvl w:ilvl="0" w:tplc="168081CE">
      <w:start w:val="1"/>
      <w:numFmt w:val="decimal"/>
      <w:lvlText w:val="%1"/>
      <w:lvlJc w:val="left"/>
      <w:pPr>
        <w:ind w:left="2482" w:hanging="163"/>
        <w:jc w:val="left"/>
      </w:pPr>
      <w:rPr>
        <w:rFonts w:ascii="Calibri" w:eastAsia="Calibri" w:hAnsi="Calibri" w:cs="Calibri" w:hint="default"/>
        <w:w w:val="100"/>
        <w:sz w:val="22"/>
        <w:szCs w:val="22"/>
        <w:lang w:val="en-US" w:eastAsia="en-US" w:bidi="en-US"/>
      </w:rPr>
    </w:lvl>
    <w:lvl w:ilvl="1" w:tplc="4F887168">
      <w:numFmt w:val="bullet"/>
      <w:lvlText w:val="•"/>
      <w:lvlJc w:val="left"/>
      <w:pPr>
        <w:ind w:left="3196" w:hanging="163"/>
      </w:pPr>
      <w:rPr>
        <w:rFonts w:hint="default"/>
        <w:lang w:val="en-US" w:eastAsia="en-US" w:bidi="en-US"/>
      </w:rPr>
    </w:lvl>
    <w:lvl w:ilvl="2" w:tplc="2A80C6E8">
      <w:numFmt w:val="bullet"/>
      <w:lvlText w:val="•"/>
      <w:lvlJc w:val="left"/>
      <w:pPr>
        <w:ind w:left="3912" w:hanging="163"/>
      </w:pPr>
      <w:rPr>
        <w:rFonts w:hint="default"/>
        <w:lang w:val="en-US" w:eastAsia="en-US" w:bidi="en-US"/>
      </w:rPr>
    </w:lvl>
    <w:lvl w:ilvl="3" w:tplc="2E6C7536">
      <w:numFmt w:val="bullet"/>
      <w:lvlText w:val="•"/>
      <w:lvlJc w:val="left"/>
      <w:pPr>
        <w:ind w:left="4628" w:hanging="163"/>
      </w:pPr>
      <w:rPr>
        <w:rFonts w:hint="default"/>
        <w:lang w:val="en-US" w:eastAsia="en-US" w:bidi="en-US"/>
      </w:rPr>
    </w:lvl>
    <w:lvl w:ilvl="4" w:tplc="31EA3346">
      <w:numFmt w:val="bullet"/>
      <w:lvlText w:val="•"/>
      <w:lvlJc w:val="left"/>
      <w:pPr>
        <w:ind w:left="5344" w:hanging="163"/>
      </w:pPr>
      <w:rPr>
        <w:rFonts w:hint="default"/>
        <w:lang w:val="en-US" w:eastAsia="en-US" w:bidi="en-US"/>
      </w:rPr>
    </w:lvl>
    <w:lvl w:ilvl="5" w:tplc="835A7828">
      <w:numFmt w:val="bullet"/>
      <w:lvlText w:val="•"/>
      <w:lvlJc w:val="left"/>
      <w:pPr>
        <w:ind w:left="6060" w:hanging="163"/>
      </w:pPr>
      <w:rPr>
        <w:rFonts w:hint="default"/>
        <w:lang w:val="en-US" w:eastAsia="en-US" w:bidi="en-US"/>
      </w:rPr>
    </w:lvl>
    <w:lvl w:ilvl="6" w:tplc="31B67BAE">
      <w:numFmt w:val="bullet"/>
      <w:lvlText w:val="•"/>
      <w:lvlJc w:val="left"/>
      <w:pPr>
        <w:ind w:left="6776" w:hanging="163"/>
      </w:pPr>
      <w:rPr>
        <w:rFonts w:hint="default"/>
        <w:lang w:val="en-US" w:eastAsia="en-US" w:bidi="en-US"/>
      </w:rPr>
    </w:lvl>
    <w:lvl w:ilvl="7" w:tplc="48E2738E">
      <w:numFmt w:val="bullet"/>
      <w:lvlText w:val="•"/>
      <w:lvlJc w:val="left"/>
      <w:pPr>
        <w:ind w:left="7492" w:hanging="163"/>
      </w:pPr>
      <w:rPr>
        <w:rFonts w:hint="default"/>
        <w:lang w:val="en-US" w:eastAsia="en-US" w:bidi="en-US"/>
      </w:rPr>
    </w:lvl>
    <w:lvl w:ilvl="8" w:tplc="B23AF87E">
      <w:numFmt w:val="bullet"/>
      <w:lvlText w:val="•"/>
      <w:lvlJc w:val="left"/>
      <w:pPr>
        <w:ind w:left="8208" w:hanging="163"/>
      </w:pPr>
      <w:rPr>
        <w:rFonts w:hint="default"/>
        <w:lang w:val="en-US" w:eastAsia="en-US" w:bidi="en-US"/>
      </w:rPr>
    </w:lvl>
  </w:abstractNum>
  <w:abstractNum w:abstractNumId="16"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4"/>
  </w:num>
  <w:num w:numId="5">
    <w:abstractNumId w:val="18"/>
  </w:num>
  <w:num w:numId="6">
    <w:abstractNumId w:val="4"/>
  </w:num>
  <w:num w:numId="7">
    <w:abstractNumId w:val="1"/>
  </w:num>
  <w:num w:numId="8">
    <w:abstractNumId w:val="5"/>
  </w:num>
  <w:num w:numId="9">
    <w:abstractNumId w:val="8"/>
  </w:num>
  <w:num w:numId="10">
    <w:abstractNumId w:val="10"/>
  </w:num>
  <w:num w:numId="11">
    <w:abstractNumId w:val="6"/>
  </w:num>
  <w:num w:numId="12">
    <w:abstractNumId w:val="16"/>
  </w:num>
  <w:num w:numId="13">
    <w:abstractNumId w:val="2"/>
  </w:num>
  <w:num w:numId="14">
    <w:abstractNumId w:val="11"/>
  </w:num>
  <w:num w:numId="15">
    <w:abstractNumId w:val="9"/>
  </w:num>
  <w:num w:numId="16">
    <w:abstractNumId w:val="17"/>
  </w:num>
  <w:num w:numId="17">
    <w:abstractNumId w:val="12"/>
  </w:num>
  <w:num w:numId="18">
    <w:abstractNumId w:val="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6E4D"/>
    <w:rsid w:val="0000722E"/>
    <w:rsid w:val="000143A2"/>
    <w:rsid w:val="00024764"/>
    <w:rsid w:val="00025159"/>
    <w:rsid w:val="000300BB"/>
    <w:rsid w:val="00032E1F"/>
    <w:rsid w:val="00034C0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4A14"/>
    <w:rsid w:val="0012562B"/>
    <w:rsid w:val="0012794E"/>
    <w:rsid w:val="00127FAF"/>
    <w:rsid w:val="001311F0"/>
    <w:rsid w:val="00134192"/>
    <w:rsid w:val="00136098"/>
    <w:rsid w:val="00140D0F"/>
    <w:rsid w:val="0014375A"/>
    <w:rsid w:val="001438F1"/>
    <w:rsid w:val="00147B4C"/>
    <w:rsid w:val="00152FB8"/>
    <w:rsid w:val="00155E22"/>
    <w:rsid w:val="001640D0"/>
    <w:rsid w:val="001670A7"/>
    <w:rsid w:val="001671C1"/>
    <w:rsid w:val="00167E67"/>
    <w:rsid w:val="001764C3"/>
    <w:rsid w:val="00183CD6"/>
    <w:rsid w:val="00190C31"/>
    <w:rsid w:val="00193828"/>
    <w:rsid w:val="00197A25"/>
    <w:rsid w:val="001A2C5D"/>
    <w:rsid w:val="001B5D75"/>
    <w:rsid w:val="001C7B1D"/>
    <w:rsid w:val="001D08C9"/>
    <w:rsid w:val="001D45B4"/>
    <w:rsid w:val="001D5B8B"/>
    <w:rsid w:val="001E0B05"/>
    <w:rsid w:val="001E1090"/>
    <w:rsid w:val="001E1726"/>
    <w:rsid w:val="001E6424"/>
    <w:rsid w:val="001E6FEF"/>
    <w:rsid w:val="001E7180"/>
    <w:rsid w:val="001F1265"/>
    <w:rsid w:val="001F7E4B"/>
    <w:rsid w:val="00201551"/>
    <w:rsid w:val="002030D6"/>
    <w:rsid w:val="00204210"/>
    <w:rsid w:val="002072D9"/>
    <w:rsid w:val="002112EF"/>
    <w:rsid w:val="002115CB"/>
    <w:rsid w:val="00212068"/>
    <w:rsid w:val="002256AC"/>
    <w:rsid w:val="00226F13"/>
    <w:rsid w:val="002409EF"/>
    <w:rsid w:val="00247AAB"/>
    <w:rsid w:val="00257A68"/>
    <w:rsid w:val="00266D71"/>
    <w:rsid w:val="0027456B"/>
    <w:rsid w:val="002750D4"/>
    <w:rsid w:val="0028081F"/>
    <w:rsid w:val="00282A83"/>
    <w:rsid w:val="002863BE"/>
    <w:rsid w:val="00292FB8"/>
    <w:rsid w:val="0029342C"/>
    <w:rsid w:val="00293D33"/>
    <w:rsid w:val="002941D4"/>
    <w:rsid w:val="00297036"/>
    <w:rsid w:val="002A1488"/>
    <w:rsid w:val="002A4E27"/>
    <w:rsid w:val="002B73B7"/>
    <w:rsid w:val="002C0C1B"/>
    <w:rsid w:val="002D0240"/>
    <w:rsid w:val="002D5937"/>
    <w:rsid w:val="002D6BFA"/>
    <w:rsid w:val="002D7D78"/>
    <w:rsid w:val="002E5781"/>
    <w:rsid w:val="002F0D1E"/>
    <w:rsid w:val="002F2994"/>
    <w:rsid w:val="003032CE"/>
    <w:rsid w:val="003042F8"/>
    <w:rsid w:val="003317E2"/>
    <w:rsid w:val="00334720"/>
    <w:rsid w:val="003424A2"/>
    <w:rsid w:val="003436AF"/>
    <w:rsid w:val="00350D3A"/>
    <w:rsid w:val="00365F0B"/>
    <w:rsid w:val="00371CB1"/>
    <w:rsid w:val="0038067D"/>
    <w:rsid w:val="00390763"/>
    <w:rsid w:val="00394FD1"/>
    <w:rsid w:val="003A570C"/>
    <w:rsid w:val="003B0875"/>
    <w:rsid w:val="003C37A8"/>
    <w:rsid w:val="003C5363"/>
    <w:rsid w:val="003C64A4"/>
    <w:rsid w:val="003D1952"/>
    <w:rsid w:val="003E3714"/>
    <w:rsid w:val="004008AE"/>
    <w:rsid w:val="00410DF7"/>
    <w:rsid w:val="00413D58"/>
    <w:rsid w:val="00415864"/>
    <w:rsid w:val="004204B1"/>
    <w:rsid w:val="0042179D"/>
    <w:rsid w:val="00421D60"/>
    <w:rsid w:val="00423026"/>
    <w:rsid w:val="00430D54"/>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5A0D"/>
    <w:rsid w:val="004859F4"/>
    <w:rsid w:val="004900F9"/>
    <w:rsid w:val="004A6B35"/>
    <w:rsid w:val="004A75C4"/>
    <w:rsid w:val="004B0029"/>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2473A"/>
    <w:rsid w:val="00536D80"/>
    <w:rsid w:val="00540733"/>
    <w:rsid w:val="005422E3"/>
    <w:rsid w:val="005464DC"/>
    <w:rsid w:val="00546CF9"/>
    <w:rsid w:val="00570565"/>
    <w:rsid w:val="00573911"/>
    <w:rsid w:val="00584476"/>
    <w:rsid w:val="00593F10"/>
    <w:rsid w:val="005979BA"/>
    <w:rsid w:val="005A6DAC"/>
    <w:rsid w:val="005B3E95"/>
    <w:rsid w:val="005C45FB"/>
    <w:rsid w:val="005C59F7"/>
    <w:rsid w:val="005D2AD2"/>
    <w:rsid w:val="005D4B55"/>
    <w:rsid w:val="005E457A"/>
    <w:rsid w:val="005E504D"/>
    <w:rsid w:val="005E761E"/>
    <w:rsid w:val="005F1466"/>
    <w:rsid w:val="005F530E"/>
    <w:rsid w:val="005F6E79"/>
    <w:rsid w:val="006059BD"/>
    <w:rsid w:val="00635EEF"/>
    <w:rsid w:val="00644610"/>
    <w:rsid w:val="00645D86"/>
    <w:rsid w:val="00646A93"/>
    <w:rsid w:val="0065150D"/>
    <w:rsid w:val="0065377C"/>
    <w:rsid w:val="006548BC"/>
    <w:rsid w:val="00672853"/>
    <w:rsid w:val="00675DE8"/>
    <w:rsid w:val="00685DDD"/>
    <w:rsid w:val="006905C0"/>
    <w:rsid w:val="006923CE"/>
    <w:rsid w:val="0069770E"/>
    <w:rsid w:val="00697DC5"/>
    <w:rsid w:val="006A756C"/>
    <w:rsid w:val="006B0117"/>
    <w:rsid w:val="006B0820"/>
    <w:rsid w:val="006B2A2D"/>
    <w:rsid w:val="006C277C"/>
    <w:rsid w:val="006C3E25"/>
    <w:rsid w:val="006C51CB"/>
    <w:rsid w:val="006E41F2"/>
    <w:rsid w:val="006E4BBC"/>
    <w:rsid w:val="006F3B6F"/>
    <w:rsid w:val="006F408A"/>
    <w:rsid w:val="006F6514"/>
    <w:rsid w:val="0070127A"/>
    <w:rsid w:val="00701D35"/>
    <w:rsid w:val="00710E56"/>
    <w:rsid w:val="00724CB1"/>
    <w:rsid w:val="00735F9C"/>
    <w:rsid w:val="00744850"/>
    <w:rsid w:val="007512BD"/>
    <w:rsid w:val="00754332"/>
    <w:rsid w:val="00761455"/>
    <w:rsid w:val="0077116E"/>
    <w:rsid w:val="00772607"/>
    <w:rsid w:val="00773281"/>
    <w:rsid w:val="00784FBE"/>
    <w:rsid w:val="00787D06"/>
    <w:rsid w:val="0079332B"/>
    <w:rsid w:val="00793441"/>
    <w:rsid w:val="007934FD"/>
    <w:rsid w:val="00795BF8"/>
    <w:rsid w:val="007965C2"/>
    <w:rsid w:val="007B7F5B"/>
    <w:rsid w:val="007C44E8"/>
    <w:rsid w:val="007D7CAF"/>
    <w:rsid w:val="007E02CD"/>
    <w:rsid w:val="007E2F83"/>
    <w:rsid w:val="007E5387"/>
    <w:rsid w:val="007F199D"/>
    <w:rsid w:val="007F1D6A"/>
    <w:rsid w:val="0081507D"/>
    <w:rsid w:val="00820281"/>
    <w:rsid w:val="008210AC"/>
    <w:rsid w:val="00823AC2"/>
    <w:rsid w:val="00826E42"/>
    <w:rsid w:val="00840004"/>
    <w:rsid w:val="00841942"/>
    <w:rsid w:val="0084439E"/>
    <w:rsid w:val="00854E3E"/>
    <w:rsid w:val="008559D7"/>
    <w:rsid w:val="0086326C"/>
    <w:rsid w:val="00890EA8"/>
    <w:rsid w:val="008B11EE"/>
    <w:rsid w:val="008B496C"/>
    <w:rsid w:val="008B4F5B"/>
    <w:rsid w:val="008C36C7"/>
    <w:rsid w:val="008C7DDD"/>
    <w:rsid w:val="008D0767"/>
    <w:rsid w:val="008D79C6"/>
    <w:rsid w:val="008E34E4"/>
    <w:rsid w:val="008E4EE0"/>
    <w:rsid w:val="008E6CC7"/>
    <w:rsid w:val="008F759A"/>
    <w:rsid w:val="00901AE8"/>
    <w:rsid w:val="00906010"/>
    <w:rsid w:val="00914EFF"/>
    <w:rsid w:val="00917D06"/>
    <w:rsid w:val="009355EC"/>
    <w:rsid w:val="00935AF2"/>
    <w:rsid w:val="009504DC"/>
    <w:rsid w:val="00954C2D"/>
    <w:rsid w:val="009604E0"/>
    <w:rsid w:val="009608CB"/>
    <w:rsid w:val="009631C4"/>
    <w:rsid w:val="00966E1F"/>
    <w:rsid w:val="00971EF2"/>
    <w:rsid w:val="009748D9"/>
    <w:rsid w:val="0098172E"/>
    <w:rsid w:val="009915D1"/>
    <w:rsid w:val="0099340F"/>
    <w:rsid w:val="009A1227"/>
    <w:rsid w:val="009B1BE1"/>
    <w:rsid w:val="009B5EE4"/>
    <w:rsid w:val="009C0494"/>
    <w:rsid w:val="009C3456"/>
    <w:rsid w:val="009C4E97"/>
    <w:rsid w:val="009D2B9F"/>
    <w:rsid w:val="009D3F54"/>
    <w:rsid w:val="009E3ED7"/>
    <w:rsid w:val="009E4663"/>
    <w:rsid w:val="00A00454"/>
    <w:rsid w:val="00A00AF3"/>
    <w:rsid w:val="00A133EA"/>
    <w:rsid w:val="00A1475C"/>
    <w:rsid w:val="00A25422"/>
    <w:rsid w:val="00A273AF"/>
    <w:rsid w:val="00A42325"/>
    <w:rsid w:val="00A42DD8"/>
    <w:rsid w:val="00A521D0"/>
    <w:rsid w:val="00A75305"/>
    <w:rsid w:val="00A75FF4"/>
    <w:rsid w:val="00A84100"/>
    <w:rsid w:val="00A9179D"/>
    <w:rsid w:val="00A95B73"/>
    <w:rsid w:val="00A95E57"/>
    <w:rsid w:val="00AA18F5"/>
    <w:rsid w:val="00AA1F81"/>
    <w:rsid w:val="00AA3A7B"/>
    <w:rsid w:val="00AA6500"/>
    <w:rsid w:val="00AA6A23"/>
    <w:rsid w:val="00AB2871"/>
    <w:rsid w:val="00AB4EE1"/>
    <w:rsid w:val="00AC10EF"/>
    <w:rsid w:val="00AC4288"/>
    <w:rsid w:val="00AD1DF0"/>
    <w:rsid w:val="00AD3C68"/>
    <w:rsid w:val="00AE0FCD"/>
    <w:rsid w:val="00B00A74"/>
    <w:rsid w:val="00B03523"/>
    <w:rsid w:val="00B05D99"/>
    <w:rsid w:val="00B065C0"/>
    <w:rsid w:val="00B1249D"/>
    <w:rsid w:val="00B26C8D"/>
    <w:rsid w:val="00B34DC8"/>
    <w:rsid w:val="00B3591B"/>
    <w:rsid w:val="00B4272D"/>
    <w:rsid w:val="00B431F1"/>
    <w:rsid w:val="00B51751"/>
    <w:rsid w:val="00B6035B"/>
    <w:rsid w:val="00B62525"/>
    <w:rsid w:val="00B643B2"/>
    <w:rsid w:val="00B76B17"/>
    <w:rsid w:val="00B77D93"/>
    <w:rsid w:val="00B84908"/>
    <w:rsid w:val="00B84E7A"/>
    <w:rsid w:val="00B906DF"/>
    <w:rsid w:val="00B94E2A"/>
    <w:rsid w:val="00B95D9D"/>
    <w:rsid w:val="00B97322"/>
    <w:rsid w:val="00BA1480"/>
    <w:rsid w:val="00BA25E9"/>
    <w:rsid w:val="00BA388A"/>
    <w:rsid w:val="00BA4751"/>
    <w:rsid w:val="00BB0A5E"/>
    <w:rsid w:val="00BD2D13"/>
    <w:rsid w:val="00BD7A4B"/>
    <w:rsid w:val="00BE4A05"/>
    <w:rsid w:val="00BF3FB1"/>
    <w:rsid w:val="00BF74E2"/>
    <w:rsid w:val="00C0639B"/>
    <w:rsid w:val="00C13DBC"/>
    <w:rsid w:val="00C16FDB"/>
    <w:rsid w:val="00C203C8"/>
    <w:rsid w:val="00C2399C"/>
    <w:rsid w:val="00C24F0B"/>
    <w:rsid w:val="00C27F2C"/>
    <w:rsid w:val="00C303E0"/>
    <w:rsid w:val="00C314A4"/>
    <w:rsid w:val="00C31D66"/>
    <w:rsid w:val="00C3617D"/>
    <w:rsid w:val="00C45FAD"/>
    <w:rsid w:val="00C466B9"/>
    <w:rsid w:val="00C50E3D"/>
    <w:rsid w:val="00C73EFA"/>
    <w:rsid w:val="00C91471"/>
    <w:rsid w:val="00CA3B7D"/>
    <w:rsid w:val="00CA3C85"/>
    <w:rsid w:val="00CD0B84"/>
    <w:rsid w:val="00CD672C"/>
    <w:rsid w:val="00CE1995"/>
    <w:rsid w:val="00CF0B58"/>
    <w:rsid w:val="00CF4D6D"/>
    <w:rsid w:val="00CF6B2D"/>
    <w:rsid w:val="00CF6D4F"/>
    <w:rsid w:val="00D04D8E"/>
    <w:rsid w:val="00D04EE9"/>
    <w:rsid w:val="00D1374C"/>
    <w:rsid w:val="00D24446"/>
    <w:rsid w:val="00D24A36"/>
    <w:rsid w:val="00D326C6"/>
    <w:rsid w:val="00D44263"/>
    <w:rsid w:val="00D6341D"/>
    <w:rsid w:val="00D66230"/>
    <w:rsid w:val="00D6733F"/>
    <w:rsid w:val="00D74DA7"/>
    <w:rsid w:val="00D84AFD"/>
    <w:rsid w:val="00D85A38"/>
    <w:rsid w:val="00D878B0"/>
    <w:rsid w:val="00D91B76"/>
    <w:rsid w:val="00D94590"/>
    <w:rsid w:val="00DA029F"/>
    <w:rsid w:val="00DA29E8"/>
    <w:rsid w:val="00DA2CE6"/>
    <w:rsid w:val="00DA7D85"/>
    <w:rsid w:val="00DC6798"/>
    <w:rsid w:val="00DD04C3"/>
    <w:rsid w:val="00DD78AD"/>
    <w:rsid w:val="00E016AF"/>
    <w:rsid w:val="00E029CF"/>
    <w:rsid w:val="00E053EF"/>
    <w:rsid w:val="00E05A55"/>
    <w:rsid w:val="00E07348"/>
    <w:rsid w:val="00E14EDF"/>
    <w:rsid w:val="00E219CE"/>
    <w:rsid w:val="00E25D84"/>
    <w:rsid w:val="00E2670D"/>
    <w:rsid w:val="00E56440"/>
    <w:rsid w:val="00E73434"/>
    <w:rsid w:val="00E82782"/>
    <w:rsid w:val="00E863EA"/>
    <w:rsid w:val="00E936A0"/>
    <w:rsid w:val="00E95643"/>
    <w:rsid w:val="00E97E38"/>
    <w:rsid w:val="00EA42F9"/>
    <w:rsid w:val="00EB4CD4"/>
    <w:rsid w:val="00EC05B0"/>
    <w:rsid w:val="00EC2ADA"/>
    <w:rsid w:val="00EC70B8"/>
    <w:rsid w:val="00EE34C0"/>
    <w:rsid w:val="00EE4773"/>
    <w:rsid w:val="00EE4A14"/>
    <w:rsid w:val="00F03799"/>
    <w:rsid w:val="00F146D4"/>
    <w:rsid w:val="00F17C95"/>
    <w:rsid w:val="00F202B0"/>
    <w:rsid w:val="00F20F55"/>
    <w:rsid w:val="00F216CE"/>
    <w:rsid w:val="00F241FB"/>
    <w:rsid w:val="00F2687B"/>
    <w:rsid w:val="00F33AA7"/>
    <w:rsid w:val="00F379F6"/>
    <w:rsid w:val="00F443DF"/>
    <w:rsid w:val="00F525BF"/>
    <w:rsid w:val="00F55354"/>
    <w:rsid w:val="00F55662"/>
    <w:rsid w:val="00F64F85"/>
    <w:rsid w:val="00F76B9F"/>
    <w:rsid w:val="00F9146D"/>
    <w:rsid w:val="00F93EE5"/>
    <w:rsid w:val="00F94781"/>
    <w:rsid w:val="00F96ACE"/>
    <w:rsid w:val="00FA7397"/>
    <w:rsid w:val="00FB09D6"/>
    <w:rsid w:val="00FB52EA"/>
    <w:rsid w:val="00FB6A62"/>
    <w:rsid w:val="00FC7828"/>
    <w:rsid w:val="00FE104F"/>
    <w:rsid w:val="00FE11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8D69C"/>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1"/>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 w:type="paragraph" w:customStyle="1" w:styleId="TableParagraph">
    <w:name w:val="Table Paragraph"/>
    <w:basedOn w:val="Normal"/>
    <w:uiPriority w:val="1"/>
    <w:qFormat/>
    <w:rsid w:val="008210AC"/>
    <w:pPr>
      <w:widowControl w:val="0"/>
      <w:autoSpaceDE w:val="0"/>
      <w:autoSpaceDN w:val="0"/>
      <w:spacing w:after="0" w:line="249" w:lineRule="exact"/>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174B-CBEF-463A-BC1E-8D0E6901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14</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12</cp:revision>
  <cp:lastPrinted>2019-04-04T13:29:00Z</cp:lastPrinted>
  <dcterms:created xsi:type="dcterms:W3CDTF">2019-07-02T18:34:00Z</dcterms:created>
  <dcterms:modified xsi:type="dcterms:W3CDTF">2019-07-16T15:36:00Z</dcterms:modified>
</cp:coreProperties>
</file>